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7" w:rsidRDefault="008D5737" w:rsidP="008D5737">
      <w:pPr>
        <w:jc w:val="center"/>
        <w:rPr>
          <w:b/>
        </w:rPr>
      </w:pPr>
      <w:r w:rsidRPr="00D660E6">
        <w:rPr>
          <w:b/>
        </w:rPr>
        <w:t>Pupil Progress in English and Maths - Year on Year Comparisons</w:t>
      </w:r>
    </w:p>
    <w:p w:rsidR="00F0577A" w:rsidRDefault="00F0577A" w:rsidP="008D5737">
      <w:pPr>
        <w:jc w:val="center"/>
        <w:rPr>
          <w:b/>
        </w:rPr>
      </w:pPr>
    </w:p>
    <w:p w:rsidR="00F0577A" w:rsidRPr="00F0577A" w:rsidRDefault="00F0577A" w:rsidP="00F0577A">
      <w:r w:rsidRPr="00F0577A">
        <w:t xml:space="preserve">The following graphs show the performance of pupils at St Luke’s each year.  The graphs clearly show the improving progress the children have achieved each year. </w:t>
      </w:r>
      <w:r>
        <w:t xml:space="preserve"> Figures are based on Progression Guidance 2010-11 (the Department for Education recommended comparison tool for children working below the National Curriculum Levels at the end of Year 2)</w:t>
      </w:r>
    </w:p>
    <w:p w:rsidR="008D5737" w:rsidRPr="00D660E6" w:rsidRDefault="008D5737" w:rsidP="008D5737"/>
    <w:p w:rsidR="008D5737" w:rsidRPr="00D660E6" w:rsidRDefault="008D5737" w:rsidP="008D5737">
      <w:pPr>
        <w:jc w:val="center"/>
      </w:pPr>
      <w:bookmarkStart w:id="0" w:name="_GoBack"/>
      <w:r w:rsidRPr="00D660E6">
        <w:rPr>
          <w:noProof/>
          <w:color w:val="000000" w:themeColor="text1"/>
          <w:lang w:eastAsia="en-GB"/>
        </w:rPr>
        <w:drawing>
          <wp:inline distT="0" distB="0" distL="0" distR="0" wp14:anchorId="69295D7C" wp14:editId="72F44033">
            <wp:extent cx="5400000" cy="2340000"/>
            <wp:effectExtent l="0" t="0" r="10795" b="222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D5737" w:rsidRPr="00D660E6" w:rsidRDefault="008D5737" w:rsidP="008D5737">
      <w:pPr>
        <w:tabs>
          <w:tab w:val="left" w:pos="1141"/>
        </w:tabs>
        <w:rPr>
          <w:sz w:val="12"/>
          <w:szCs w:val="12"/>
        </w:rPr>
      </w:pPr>
      <w:r w:rsidRPr="00D660E6">
        <w:tab/>
      </w:r>
    </w:p>
    <w:p w:rsidR="008D5737" w:rsidRPr="00D660E6" w:rsidRDefault="008D5737" w:rsidP="008D5737">
      <w:pPr>
        <w:jc w:val="center"/>
      </w:pPr>
      <w:r w:rsidRPr="00D660E6">
        <w:rPr>
          <w:noProof/>
          <w:color w:val="000000" w:themeColor="text1"/>
          <w:lang w:eastAsia="en-GB"/>
        </w:rPr>
        <w:drawing>
          <wp:inline distT="0" distB="0" distL="0" distR="0" wp14:anchorId="1F4FE2C9" wp14:editId="56BBEF0B">
            <wp:extent cx="5400000" cy="2340000"/>
            <wp:effectExtent l="0" t="0" r="10795" b="222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737" w:rsidRPr="00D660E6" w:rsidRDefault="008D5737" w:rsidP="008D5737">
      <w:pPr>
        <w:rPr>
          <w:sz w:val="12"/>
          <w:szCs w:val="12"/>
        </w:rPr>
      </w:pPr>
    </w:p>
    <w:p w:rsidR="008D5737" w:rsidRPr="00D660E6" w:rsidRDefault="008D5737" w:rsidP="008D5737">
      <w:pPr>
        <w:jc w:val="center"/>
      </w:pPr>
      <w:r w:rsidRPr="00D660E6">
        <w:rPr>
          <w:noProof/>
          <w:color w:val="000000" w:themeColor="text1"/>
          <w:lang w:eastAsia="en-GB"/>
        </w:rPr>
        <w:drawing>
          <wp:inline distT="0" distB="0" distL="0" distR="0" wp14:anchorId="02CE516A" wp14:editId="40160FDF">
            <wp:extent cx="5400000" cy="2340000"/>
            <wp:effectExtent l="0" t="0" r="10795" b="222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737" w:rsidRPr="00D660E6" w:rsidRDefault="008D5737" w:rsidP="008D5737"/>
    <w:p w:rsidR="008D5737" w:rsidRPr="00D660E6" w:rsidRDefault="008D5737" w:rsidP="008D5737">
      <w:pPr>
        <w:jc w:val="center"/>
      </w:pPr>
      <w:r w:rsidRPr="00D660E6">
        <w:rPr>
          <w:noProof/>
          <w:lang w:eastAsia="en-GB"/>
        </w:rPr>
        <w:lastRenderedPageBreak/>
        <w:drawing>
          <wp:inline distT="0" distB="0" distL="0" distR="0" wp14:anchorId="296BB8FB" wp14:editId="24A42CEF">
            <wp:extent cx="5400000" cy="2340000"/>
            <wp:effectExtent l="0" t="0" r="10795" b="222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737" w:rsidRPr="00D660E6" w:rsidRDefault="008D5737" w:rsidP="008D5737">
      <w:pPr>
        <w:rPr>
          <w:sz w:val="12"/>
          <w:szCs w:val="12"/>
        </w:rPr>
      </w:pPr>
    </w:p>
    <w:p w:rsidR="008D5737" w:rsidRPr="00D660E6" w:rsidRDefault="008D5737" w:rsidP="008D5737">
      <w:pPr>
        <w:jc w:val="center"/>
      </w:pPr>
      <w:r w:rsidRPr="00D660E6">
        <w:rPr>
          <w:noProof/>
          <w:lang w:eastAsia="en-GB"/>
        </w:rPr>
        <w:drawing>
          <wp:inline distT="0" distB="0" distL="0" distR="0" wp14:anchorId="495C85B2" wp14:editId="7D81D254">
            <wp:extent cx="5400000" cy="2340000"/>
            <wp:effectExtent l="0" t="0" r="10795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5737" w:rsidRPr="00D660E6" w:rsidRDefault="008D5737" w:rsidP="008D5737">
      <w:pPr>
        <w:rPr>
          <w:sz w:val="12"/>
          <w:szCs w:val="12"/>
        </w:rPr>
      </w:pPr>
    </w:p>
    <w:p w:rsidR="008D5737" w:rsidRPr="00D660E6" w:rsidRDefault="008D5737" w:rsidP="008D5737">
      <w:pPr>
        <w:jc w:val="center"/>
      </w:pPr>
      <w:r w:rsidRPr="00D660E6">
        <w:rPr>
          <w:noProof/>
          <w:lang w:eastAsia="en-GB"/>
        </w:rPr>
        <w:drawing>
          <wp:inline distT="0" distB="0" distL="0" distR="0" wp14:anchorId="786EEA75" wp14:editId="522573C7">
            <wp:extent cx="5400000" cy="2340000"/>
            <wp:effectExtent l="0" t="0" r="10795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5737" w:rsidRPr="00D660E6" w:rsidRDefault="008D5737" w:rsidP="008D5737">
      <w:pPr>
        <w:rPr>
          <w:sz w:val="12"/>
          <w:szCs w:val="12"/>
        </w:rPr>
      </w:pPr>
    </w:p>
    <w:p w:rsidR="008D5737" w:rsidRPr="008D5737" w:rsidRDefault="008D5737" w:rsidP="008D5737">
      <w:pPr>
        <w:jc w:val="center"/>
      </w:pPr>
      <w:r w:rsidRPr="00D660E6">
        <w:rPr>
          <w:noProof/>
          <w:lang w:eastAsia="en-GB"/>
        </w:rPr>
        <w:drawing>
          <wp:inline distT="0" distB="0" distL="0" distR="0" wp14:anchorId="0783FD54" wp14:editId="6D9A3FA7">
            <wp:extent cx="5400000" cy="2520000"/>
            <wp:effectExtent l="0" t="0" r="10795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D5737" w:rsidRPr="008D5737" w:rsidSect="008D573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405"/>
    <w:multiLevelType w:val="multilevel"/>
    <w:tmpl w:val="E21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B3"/>
    <w:rsid w:val="000404B3"/>
    <w:rsid w:val="00241147"/>
    <w:rsid w:val="002A2009"/>
    <w:rsid w:val="007257EA"/>
    <w:rsid w:val="008D5737"/>
    <w:rsid w:val="00AA41F3"/>
    <w:rsid w:val="00C4025F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Reading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57</c:v>
                </c:pt>
                <c:pt idx="2">
                  <c:v>66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18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28</c:v>
                </c:pt>
                <c:pt idx="1">
                  <c:v>26</c:v>
                </c:pt>
                <c:pt idx="2">
                  <c:v>25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23802368"/>
        <c:axId val="123803904"/>
      </c:barChart>
      <c:catAx>
        <c:axId val="12380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3803904"/>
        <c:crosses val="autoZero"/>
        <c:auto val="1"/>
        <c:lblAlgn val="ctr"/>
        <c:lblOffset val="100"/>
        <c:noMultiLvlLbl val="0"/>
      </c:catAx>
      <c:valAx>
        <c:axId val="1238039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3802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Writing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</c:v>
                </c:pt>
                <c:pt idx="1">
                  <c:v>53</c:v>
                </c:pt>
                <c:pt idx="2">
                  <c:v>54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39</c:v>
                </c:pt>
                <c:pt idx="1">
                  <c:v>38</c:v>
                </c:pt>
                <c:pt idx="2">
                  <c:v>37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27838080"/>
        <c:axId val="127839616"/>
      </c:barChart>
      <c:catAx>
        <c:axId val="1278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7839616"/>
        <c:crosses val="autoZero"/>
        <c:auto val="1"/>
        <c:lblAlgn val="ctr"/>
        <c:lblOffset val="100"/>
        <c:noMultiLvlLbl val="0"/>
      </c:catAx>
      <c:valAx>
        <c:axId val="127839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78380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Speaking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56</c:v>
                </c:pt>
                <c:pt idx="2">
                  <c:v>60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</c:v>
                </c:pt>
                <c:pt idx="1">
                  <c:v>12</c:v>
                </c:pt>
                <c:pt idx="2">
                  <c:v>16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43</c:v>
                </c:pt>
                <c:pt idx="1">
                  <c:v>32</c:v>
                </c:pt>
                <c:pt idx="2">
                  <c:v>24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5732224"/>
        <c:axId val="135742208"/>
      </c:bar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742208"/>
        <c:crosses val="autoZero"/>
        <c:auto val="1"/>
        <c:lblAlgn val="ctr"/>
        <c:lblOffset val="100"/>
        <c:noMultiLvlLbl val="0"/>
      </c:catAx>
      <c:valAx>
        <c:axId val="1357422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57322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Listening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48</c:v>
                </c:pt>
                <c:pt idx="2">
                  <c:v>58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15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46</c:v>
                </c:pt>
                <c:pt idx="1">
                  <c:v>36</c:v>
                </c:pt>
                <c:pt idx="2">
                  <c:v>27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5811456"/>
        <c:axId val="135812992"/>
      </c:barChart>
      <c:catAx>
        <c:axId val="13581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812992"/>
        <c:crosses val="autoZero"/>
        <c:auto val="1"/>
        <c:lblAlgn val="ctr"/>
        <c:lblOffset val="100"/>
        <c:noMultiLvlLbl val="0"/>
      </c:catAx>
      <c:valAx>
        <c:axId val="1358129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58114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Number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</c:v>
                </c:pt>
                <c:pt idx="1">
                  <c:v>50</c:v>
                </c:pt>
                <c:pt idx="2">
                  <c:v>51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44</c:v>
                </c:pt>
                <c:pt idx="1">
                  <c:v>30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6996352"/>
        <c:axId val="136997888"/>
      </c:barChart>
      <c:catAx>
        <c:axId val="13699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997888"/>
        <c:crosses val="autoZero"/>
        <c:auto val="1"/>
        <c:lblAlgn val="ctr"/>
        <c:lblOffset val="100"/>
        <c:noMultiLvlLbl val="0"/>
      </c:catAx>
      <c:valAx>
        <c:axId val="1369978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6996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Using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and Applying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42</c:v>
                </c:pt>
                <c:pt idx="2">
                  <c:v>36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22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36</c:v>
                </c:pt>
                <c:pt idx="2">
                  <c:v>46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7165440"/>
        <c:axId val="147022208"/>
      </c:barChart>
      <c:catAx>
        <c:axId val="1371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022208"/>
        <c:crosses val="autoZero"/>
        <c:auto val="1"/>
        <c:lblAlgn val="ctr"/>
        <c:lblOffset val="100"/>
        <c:noMultiLvlLbl val="0"/>
      </c:catAx>
      <c:valAx>
        <c:axId val="1470222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71654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Arial" panose="020B0604020202020204" pitchFamily="34" charset="0"/>
                <a:cs typeface="Arial" panose="020B0604020202020204" pitchFamily="34" charset="0"/>
              </a:rPr>
              <a:t>Shape,</a:t>
            </a:r>
            <a:r>
              <a:rPr lang="en-GB" sz="1200" baseline="0">
                <a:latin typeface="Arial" panose="020B0604020202020204" pitchFamily="34" charset="0"/>
                <a:cs typeface="Arial" panose="020B0604020202020204" pitchFamily="34" charset="0"/>
              </a:rPr>
              <a:t> Space and Measure</a:t>
            </a:r>
            <a:endParaRPr lang="en-GB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Outstanding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31</c:v>
                </c:pt>
                <c:pt idx="1">
                  <c:v>47</c:v>
                </c:pt>
                <c:pt idx="2">
                  <c:v>58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16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Requires Improvement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54</c:v>
                </c:pt>
                <c:pt idx="1">
                  <c:v>34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47922944"/>
        <c:axId val="147924480"/>
      </c:barChart>
      <c:catAx>
        <c:axId val="1479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924480"/>
        <c:crosses val="autoZero"/>
        <c:auto val="1"/>
        <c:lblAlgn val="ctr"/>
        <c:lblOffset val="100"/>
        <c:noMultiLvlLbl val="0"/>
      </c:catAx>
      <c:valAx>
        <c:axId val="1479244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7922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a.sutherland</dc:creator>
  <cp:lastModifiedBy>a.sutherland</cp:lastModifiedBy>
  <cp:revision>2</cp:revision>
  <dcterms:created xsi:type="dcterms:W3CDTF">2014-11-03T22:05:00Z</dcterms:created>
  <dcterms:modified xsi:type="dcterms:W3CDTF">2014-11-03T22:05:00Z</dcterms:modified>
</cp:coreProperties>
</file>