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5F" w:rsidRPr="000404B3" w:rsidRDefault="000404B3" w:rsidP="000404B3">
      <w:pPr>
        <w:jc w:val="center"/>
        <w:rPr>
          <w:b/>
        </w:rPr>
      </w:pPr>
      <w:r w:rsidRPr="000404B3">
        <w:rPr>
          <w:b/>
        </w:rPr>
        <w:t>Report on Progress of Pupils</w:t>
      </w:r>
      <w:r>
        <w:rPr>
          <w:b/>
        </w:rPr>
        <w:t xml:space="preserve"> at St Luke’s – Academic Year 2013-14</w:t>
      </w:r>
    </w:p>
    <w:p w:rsidR="000404B3" w:rsidRDefault="000404B3"/>
    <w:p w:rsidR="000404B3" w:rsidRPr="000404B3" w:rsidRDefault="000404B3">
      <w:pPr>
        <w:rPr>
          <w:b/>
        </w:rPr>
      </w:pPr>
      <w:r>
        <w:rPr>
          <w:b/>
        </w:rPr>
        <w:t xml:space="preserve">End of </w:t>
      </w:r>
      <w:r w:rsidRPr="000404B3">
        <w:rPr>
          <w:b/>
        </w:rPr>
        <w:t>Key Stage 2 data</w:t>
      </w:r>
    </w:p>
    <w:p w:rsidR="000404B3" w:rsidRDefault="000404B3"/>
    <w:p w:rsidR="000404B3" w:rsidRDefault="000404B3">
      <w:r>
        <w:t>The Department for Education (</w:t>
      </w:r>
      <w:proofErr w:type="spellStart"/>
      <w:r>
        <w:t>DfE</w:t>
      </w:r>
      <w:proofErr w:type="spellEnd"/>
      <w:r>
        <w:t xml:space="preserve">) require all primary schools to report on the performance of children at the end of Key Stage 2.  </w:t>
      </w:r>
    </w:p>
    <w:p w:rsidR="000404B3" w:rsidRDefault="000404B3"/>
    <w:p w:rsidR="000404B3" w:rsidRDefault="000404B3">
      <w:r>
        <w:t>The following table details the achievement of pupils against DFE requirements</w:t>
      </w:r>
    </w:p>
    <w:p w:rsidR="000404B3" w:rsidRDefault="000404B3"/>
    <w:tbl>
      <w:tblPr>
        <w:tblStyle w:val="TableGrid"/>
        <w:tblW w:w="0" w:type="auto"/>
        <w:tblLook w:val="04A0" w:firstRow="1" w:lastRow="0" w:firstColumn="1" w:lastColumn="0" w:noHBand="0" w:noVBand="1"/>
      </w:tblPr>
      <w:tblGrid>
        <w:gridCol w:w="4621"/>
        <w:gridCol w:w="4621"/>
      </w:tblGrid>
      <w:tr w:rsidR="000404B3" w:rsidTr="000404B3">
        <w:tc>
          <w:tcPr>
            <w:tcW w:w="4621" w:type="dxa"/>
            <w:vAlign w:val="center"/>
          </w:tcPr>
          <w:p w:rsidR="000404B3" w:rsidRPr="000404B3" w:rsidRDefault="000404B3" w:rsidP="000404B3">
            <w:pPr>
              <w:jc w:val="center"/>
              <w:rPr>
                <w:b/>
              </w:rPr>
            </w:pPr>
            <w:r w:rsidRPr="000404B3">
              <w:rPr>
                <w:b/>
              </w:rPr>
              <w:t>Area</w:t>
            </w:r>
          </w:p>
        </w:tc>
        <w:tc>
          <w:tcPr>
            <w:tcW w:w="4621" w:type="dxa"/>
            <w:vAlign w:val="center"/>
          </w:tcPr>
          <w:p w:rsidR="000404B3" w:rsidRPr="000404B3" w:rsidRDefault="000404B3" w:rsidP="000404B3">
            <w:pPr>
              <w:jc w:val="center"/>
              <w:rPr>
                <w:b/>
              </w:rPr>
            </w:pPr>
            <w:r w:rsidRPr="000404B3">
              <w:rPr>
                <w:b/>
              </w:rPr>
              <w:t>Number of Pupils achieving level at St Luke’s</w:t>
            </w:r>
          </w:p>
        </w:tc>
      </w:tr>
      <w:tr w:rsidR="000404B3" w:rsidTr="000404B3">
        <w:tc>
          <w:tcPr>
            <w:tcW w:w="4621" w:type="dxa"/>
            <w:vAlign w:val="center"/>
          </w:tcPr>
          <w:p w:rsidR="000404B3" w:rsidRPr="000404B3" w:rsidRDefault="000404B3" w:rsidP="000404B3">
            <w:pPr>
              <w:spacing w:before="100" w:beforeAutospacing="1" w:after="100" w:afterAutospacing="1"/>
              <w:rPr>
                <w:rFonts w:eastAsia="Times New Roman"/>
                <w:lang w:val="en" w:eastAsia="en-GB"/>
              </w:rPr>
            </w:pPr>
            <w:r w:rsidRPr="000404B3">
              <w:rPr>
                <w:rFonts w:eastAsia="Times New Roman"/>
                <w:lang w:val="en" w:eastAsia="en-GB"/>
              </w:rPr>
              <w:t>percentage of pupils who achieved level 4 or abo</w:t>
            </w:r>
            <w:r>
              <w:rPr>
                <w:rFonts w:eastAsia="Times New Roman"/>
                <w:lang w:val="en" w:eastAsia="en-GB"/>
              </w:rPr>
              <w:t>ve in reading, writing and math</w:t>
            </w:r>
          </w:p>
        </w:tc>
        <w:tc>
          <w:tcPr>
            <w:tcW w:w="4621" w:type="dxa"/>
            <w:vAlign w:val="center"/>
          </w:tcPr>
          <w:p w:rsidR="000404B3" w:rsidRPr="000404B3" w:rsidRDefault="000404B3" w:rsidP="000404B3">
            <w:pPr>
              <w:spacing w:before="100" w:beforeAutospacing="1" w:after="100" w:afterAutospacing="1"/>
              <w:jc w:val="center"/>
            </w:pPr>
            <w:r w:rsidRPr="000404B3">
              <w:t>0</w:t>
            </w:r>
          </w:p>
        </w:tc>
      </w:tr>
      <w:tr w:rsidR="000404B3" w:rsidTr="000404B3">
        <w:tc>
          <w:tcPr>
            <w:tcW w:w="4621" w:type="dxa"/>
            <w:vAlign w:val="center"/>
          </w:tcPr>
          <w:p w:rsidR="000404B3" w:rsidRPr="000404B3" w:rsidRDefault="000404B3" w:rsidP="000404B3">
            <w:pPr>
              <w:spacing w:before="100" w:beforeAutospacing="1" w:after="100" w:afterAutospacing="1"/>
              <w:rPr>
                <w:rFonts w:eastAsia="Times New Roman"/>
                <w:lang w:val="en" w:eastAsia="en-GB"/>
              </w:rPr>
            </w:pPr>
            <w:r w:rsidRPr="000404B3">
              <w:rPr>
                <w:rFonts w:eastAsia="Times New Roman"/>
                <w:lang w:val="en" w:eastAsia="en-GB"/>
              </w:rPr>
              <w:t xml:space="preserve">percentage of pupils who have improved by 2 or more levels in reading, writing and </w:t>
            </w:r>
            <w:proofErr w:type="spellStart"/>
            <w:r w:rsidRPr="000404B3">
              <w:rPr>
                <w:rFonts w:eastAsia="Times New Roman"/>
                <w:lang w:val="en" w:eastAsia="en-GB"/>
              </w:rPr>
              <w:t>maths</w:t>
            </w:r>
            <w:proofErr w:type="spellEnd"/>
            <w:r w:rsidRPr="000404B3">
              <w:rPr>
                <w:rFonts w:eastAsia="Times New Roman"/>
                <w:lang w:val="en" w:eastAsia="en-GB"/>
              </w:rPr>
              <w:t xml:space="preserve"> between</w:t>
            </w:r>
            <w:r w:rsidRPr="000404B3">
              <w:rPr>
                <w:rFonts w:eastAsia="Times New Roman"/>
                <w:lang w:val="en" w:eastAsia="en-GB"/>
              </w:rPr>
              <w:t xml:space="preserve"> </w:t>
            </w:r>
            <w:r>
              <w:rPr>
                <w:rFonts w:eastAsia="Times New Roman"/>
                <w:lang w:val="en" w:eastAsia="en-GB"/>
              </w:rPr>
              <w:t>key stage 1 (KS1) and KS2</w:t>
            </w:r>
          </w:p>
        </w:tc>
        <w:tc>
          <w:tcPr>
            <w:tcW w:w="4621" w:type="dxa"/>
            <w:vAlign w:val="center"/>
          </w:tcPr>
          <w:p w:rsidR="000404B3" w:rsidRPr="000404B3" w:rsidRDefault="000404B3" w:rsidP="000404B3">
            <w:r w:rsidRPr="000404B3">
              <w:t xml:space="preserve">At St Luke’s we monitor achievement against the </w:t>
            </w:r>
            <w:proofErr w:type="spellStart"/>
            <w:r w:rsidRPr="000404B3">
              <w:t>DfE</w:t>
            </w:r>
            <w:proofErr w:type="spellEnd"/>
            <w:r w:rsidRPr="000404B3">
              <w:t xml:space="preserve"> </w:t>
            </w:r>
            <w:r>
              <w:t>recognised performance guidance (see rest of report)</w:t>
            </w:r>
          </w:p>
        </w:tc>
      </w:tr>
      <w:tr w:rsidR="000404B3" w:rsidTr="000404B3">
        <w:tc>
          <w:tcPr>
            <w:tcW w:w="4621" w:type="dxa"/>
            <w:vAlign w:val="center"/>
          </w:tcPr>
          <w:p w:rsidR="000404B3" w:rsidRPr="000404B3" w:rsidRDefault="000404B3" w:rsidP="000404B3">
            <w:pPr>
              <w:spacing w:before="100" w:beforeAutospacing="1" w:after="100" w:afterAutospacing="1"/>
              <w:rPr>
                <w:rFonts w:eastAsia="Times New Roman"/>
                <w:lang w:val="en" w:eastAsia="en-GB"/>
              </w:rPr>
            </w:pPr>
            <w:r w:rsidRPr="000404B3">
              <w:rPr>
                <w:rFonts w:eastAsia="Times New Roman"/>
                <w:lang w:val="en" w:eastAsia="en-GB"/>
              </w:rPr>
              <w:t>percentage of pupils who achieved level 5 or above in reading and writing</w:t>
            </w:r>
          </w:p>
        </w:tc>
        <w:tc>
          <w:tcPr>
            <w:tcW w:w="4621" w:type="dxa"/>
            <w:vAlign w:val="center"/>
          </w:tcPr>
          <w:p w:rsidR="000404B3" w:rsidRPr="000404B3" w:rsidRDefault="000404B3" w:rsidP="000404B3">
            <w:pPr>
              <w:jc w:val="center"/>
            </w:pPr>
            <w:r w:rsidRPr="000404B3">
              <w:t>0</w:t>
            </w:r>
          </w:p>
        </w:tc>
      </w:tr>
      <w:tr w:rsidR="000404B3" w:rsidTr="000404B3">
        <w:tc>
          <w:tcPr>
            <w:tcW w:w="4621" w:type="dxa"/>
            <w:vAlign w:val="center"/>
          </w:tcPr>
          <w:p w:rsidR="000404B3" w:rsidRPr="000404B3" w:rsidRDefault="000404B3" w:rsidP="000404B3">
            <w:pPr>
              <w:spacing w:before="100" w:beforeAutospacing="1" w:after="100" w:afterAutospacing="1"/>
              <w:rPr>
                <w:rFonts w:eastAsia="Times New Roman"/>
                <w:lang w:val="en" w:eastAsia="en-GB"/>
              </w:rPr>
            </w:pPr>
            <w:r w:rsidRPr="000404B3">
              <w:rPr>
                <w:rFonts w:eastAsia="Times New Roman"/>
                <w:lang w:val="en" w:eastAsia="en-GB"/>
              </w:rPr>
              <w:t>percentage of pupils who ac</w:t>
            </w:r>
            <w:r>
              <w:rPr>
                <w:rFonts w:eastAsia="Times New Roman"/>
                <w:lang w:val="en" w:eastAsia="en-GB"/>
              </w:rPr>
              <w:t>hieved level 5 or above in math</w:t>
            </w:r>
          </w:p>
        </w:tc>
        <w:tc>
          <w:tcPr>
            <w:tcW w:w="4621" w:type="dxa"/>
            <w:vAlign w:val="center"/>
          </w:tcPr>
          <w:p w:rsidR="000404B3" w:rsidRPr="000404B3" w:rsidRDefault="000404B3" w:rsidP="000404B3">
            <w:pPr>
              <w:jc w:val="center"/>
            </w:pPr>
            <w:r w:rsidRPr="000404B3">
              <w:t>0</w:t>
            </w:r>
          </w:p>
        </w:tc>
      </w:tr>
    </w:tbl>
    <w:p w:rsidR="000404B3" w:rsidRDefault="000404B3">
      <w:r>
        <w:t xml:space="preserve"> </w:t>
      </w:r>
    </w:p>
    <w:p w:rsidR="000404B3" w:rsidRPr="000404B3" w:rsidRDefault="000404B3">
      <w:pPr>
        <w:rPr>
          <w:b/>
        </w:rPr>
      </w:pPr>
      <w:r w:rsidRPr="000404B3">
        <w:rPr>
          <w:b/>
        </w:rPr>
        <w:t>Year 1 Phonics Screening Check</w:t>
      </w:r>
    </w:p>
    <w:p w:rsidR="000404B3" w:rsidRDefault="000404B3"/>
    <w:p w:rsidR="000404B3" w:rsidRDefault="000404B3">
      <w:r>
        <w:t>Pupils are entered to complete the phonics screening check when school staff have identified that their skills in phonics are near to that expected for a child at the end of Year 1.</w:t>
      </w:r>
      <w:r w:rsidR="00241147">
        <w:t xml:space="preserve">  At St Luke’s we retest children who did not achieve the required standard in Year 1 at the end of Year 2.  Other children whose phonics skills have improved will also be tested at the end of Year 2.</w:t>
      </w:r>
    </w:p>
    <w:p w:rsidR="000404B3" w:rsidRDefault="000404B3"/>
    <w:p w:rsidR="000404B3" w:rsidRDefault="00241147">
      <w:r>
        <w:t>The following tables shows the results for St Luke’s in July 2014</w:t>
      </w:r>
    </w:p>
    <w:p w:rsidR="00241147" w:rsidRDefault="00241147"/>
    <w:tbl>
      <w:tblPr>
        <w:tblStyle w:val="TableGrid"/>
        <w:tblW w:w="0" w:type="auto"/>
        <w:tblLook w:val="04A0" w:firstRow="1" w:lastRow="0" w:firstColumn="1" w:lastColumn="0" w:noHBand="0" w:noVBand="1"/>
      </w:tblPr>
      <w:tblGrid>
        <w:gridCol w:w="5211"/>
        <w:gridCol w:w="2410"/>
      </w:tblGrid>
      <w:tr w:rsidR="00241147" w:rsidTr="00CF27FF">
        <w:tc>
          <w:tcPr>
            <w:tcW w:w="7621" w:type="dxa"/>
            <w:gridSpan w:val="2"/>
          </w:tcPr>
          <w:p w:rsidR="00241147" w:rsidRDefault="00241147">
            <w:r w:rsidRPr="00241147">
              <w:rPr>
                <w:b/>
              </w:rPr>
              <w:t>Year 1 children</w:t>
            </w:r>
          </w:p>
        </w:tc>
      </w:tr>
      <w:tr w:rsidR="00241147" w:rsidTr="00241147">
        <w:tc>
          <w:tcPr>
            <w:tcW w:w="5211" w:type="dxa"/>
          </w:tcPr>
          <w:p w:rsidR="00241147" w:rsidRDefault="00241147">
            <w:r>
              <w:t>Number of children in Year 1</w:t>
            </w:r>
          </w:p>
        </w:tc>
        <w:tc>
          <w:tcPr>
            <w:tcW w:w="2410" w:type="dxa"/>
          </w:tcPr>
          <w:p w:rsidR="00241147" w:rsidRDefault="00241147">
            <w:r>
              <w:t>20</w:t>
            </w:r>
          </w:p>
        </w:tc>
      </w:tr>
      <w:tr w:rsidR="00241147" w:rsidTr="00241147">
        <w:tc>
          <w:tcPr>
            <w:tcW w:w="5211" w:type="dxa"/>
          </w:tcPr>
          <w:p w:rsidR="00241147" w:rsidRDefault="00241147">
            <w:r>
              <w:t>Number of children entered for the test</w:t>
            </w:r>
          </w:p>
        </w:tc>
        <w:tc>
          <w:tcPr>
            <w:tcW w:w="2410" w:type="dxa"/>
          </w:tcPr>
          <w:p w:rsidR="00241147" w:rsidRDefault="00241147">
            <w:r>
              <w:t>5</w:t>
            </w:r>
          </w:p>
        </w:tc>
      </w:tr>
      <w:tr w:rsidR="00241147" w:rsidTr="00241147">
        <w:tc>
          <w:tcPr>
            <w:tcW w:w="5211" w:type="dxa"/>
          </w:tcPr>
          <w:p w:rsidR="00241147" w:rsidRDefault="00241147" w:rsidP="00241147">
            <w:r>
              <w:t>Number of children achieving the required level (32 marks or above)</w:t>
            </w:r>
          </w:p>
        </w:tc>
        <w:tc>
          <w:tcPr>
            <w:tcW w:w="2410" w:type="dxa"/>
          </w:tcPr>
          <w:p w:rsidR="00241147" w:rsidRDefault="00241147">
            <w:r>
              <w:t>2</w:t>
            </w:r>
          </w:p>
        </w:tc>
      </w:tr>
      <w:tr w:rsidR="00241147" w:rsidTr="00241147">
        <w:tc>
          <w:tcPr>
            <w:tcW w:w="5211" w:type="dxa"/>
          </w:tcPr>
          <w:p w:rsidR="00241147" w:rsidRDefault="00241147" w:rsidP="00241147">
            <w:r>
              <w:t>Number of children who achieved just below the required score (29 – 32 marks)</w:t>
            </w:r>
          </w:p>
        </w:tc>
        <w:tc>
          <w:tcPr>
            <w:tcW w:w="2410" w:type="dxa"/>
          </w:tcPr>
          <w:p w:rsidR="00241147" w:rsidRDefault="00241147">
            <w:r>
              <w:t>1</w:t>
            </w:r>
          </w:p>
        </w:tc>
      </w:tr>
      <w:tr w:rsidR="00241147" w:rsidTr="00241147">
        <w:tc>
          <w:tcPr>
            <w:tcW w:w="5211" w:type="dxa"/>
          </w:tcPr>
          <w:p w:rsidR="00241147" w:rsidRDefault="00241147" w:rsidP="00241147">
            <w:r>
              <w:t>Number of children achieving below 29</w:t>
            </w:r>
          </w:p>
        </w:tc>
        <w:tc>
          <w:tcPr>
            <w:tcW w:w="2410" w:type="dxa"/>
          </w:tcPr>
          <w:p w:rsidR="00241147" w:rsidRDefault="00241147">
            <w:r>
              <w:t>2</w:t>
            </w:r>
          </w:p>
        </w:tc>
      </w:tr>
    </w:tbl>
    <w:p w:rsidR="00241147" w:rsidRDefault="00241147"/>
    <w:tbl>
      <w:tblPr>
        <w:tblStyle w:val="TableGrid"/>
        <w:tblW w:w="0" w:type="auto"/>
        <w:tblLook w:val="04A0" w:firstRow="1" w:lastRow="0" w:firstColumn="1" w:lastColumn="0" w:noHBand="0" w:noVBand="1"/>
      </w:tblPr>
      <w:tblGrid>
        <w:gridCol w:w="5211"/>
        <w:gridCol w:w="2410"/>
      </w:tblGrid>
      <w:tr w:rsidR="00241147" w:rsidTr="006058CA">
        <w:tc>
          <w:tcPr>
            <w:tcW w:w="7621" w:type="dxa"/>
            <w:gridSpan w:val="2"/>
          </w:tcPr>
          <w:p w:rsidR="00241147" w:rsidRDefault="00241147" w:rsidP="006058CA">
            <w:r>
              <w:rPr>
                <w:b/>
              </w:rPr>
              <w:t xml:space="preserve">Year 2 </w:t>
            </w:r>
            <w:r w:rsidRPr="00241147">
              <w:rPr>
                <w:b/>
              </w:rPr>
              <w:t>children</w:t>
            </w:r>
          </w:p>
        </w:tc>
      </w:tr>
      <w:tr w:rsidR="00241147" w:rsidTr="006058CA">
        <w:tc>
          <w:tcPr>
            <w:tcW w:w="5211" w:type="dxa"/>
          </w:tcPr>
          <w:p w:rsidR="00241147" w:rsidRDefault="00241147" w:rsidP="006058CA">
            <w:r>
              <w:t>Number of children in Year 2</w:t>
            </w:r>
          </w:p>
        </w:tc>
        <w:tc>
          <w:tcPr>
            <w:tcW w:w="2410" w:type="dxa"/>
          </w:tcPr>
          <w:p w:rsidR="00241147" w:rsidRDefault="00241147" w:rsidP="006058CA">
            <w:r>
              <w:t>15</w:t>
            </w:r>
          </w:p>
        </w:tc>
      </w:tr>
      <w:tr w:rsidR="00241147" w:rsidTr="006058CA">
        <w:tc>
          <w:tcPr>
            <w:tcW w:w="5211" w:type="dxa"/>
          </w:tcPr>
          <w:p w:rsidR="00241147" w:rsidRDefault="00241147" w:rsidP="006058CA">
            <w:r>
              <w:t>Number of children entered for the test</w:t>
            </w:r>
          </w:p>
        </w:tc>
        <w:tc>
          <w:tcPr>
            <w:tcW w:w="2410" w:type="dxa"/>
          </w:tcPr>
          <w:p w:rsidR="00241147" w:rsidRDefault="00241147" w:rsidP="006058CA">
            <w:r>
              <w:t>5</w:t>
            </w:r>
          </w:p>
        </w:tc>
      </w:tr>
      <w:tr w:rsidR="00241147" w:rsidTr="006058CA">
        <w:tc>
          <w:tcPr>
            <w:tcW w:w="5211" w:type="dxa"/>
          </w:tcPr>
          <w:p w:rsidR="00241147" w:rsidRDefault="00241147" w:rsidP="006058CA">
            <w:r>
              <w:t>Number of children achieving the required level (32 marks or above)</w:t>
            </w:r>
          </w:p>
        </w:tc>
        <w:tc>
          <w:tcPr>
            <w:tcW w:w="2410" w:type="dxa"/>
          </w:tcPr>
          <w:p w:rsidR="00241147" w:rsidRDefault="00241147" w:rsidP="006058CA">
            <w:r>
              <w:t>2</w:t>
            </w:r>
          </w:p>
        </w:tc>
      </w:tr>
      <w:tr w:rsidR="00241147" w:rsidTr="006058CA">
        <w:tc>
          <w:tcPr>
            <w:tcW w:w="5211" w:type="dxa"/>
          </w:tcPr>
          <w:p w:rsidR="00241147" w:rsidRDefault="00241147" w:rsidP="006058CA">
            <w:r>
              <w:t>Number of children who achieved just below the required score (29 – 32 marks)</w:t>
            </w:r>
          </w:p>
        </w:tc>
        <w:tc>
          <w:tcPr>
            <w:tcW w:w="2410" w:type="dxa"/>
          </w:tcPr>
          <w:p w:rsidR="00241147" w:rsidRDefault="00241147" w:rsidP="006058CA">
            <w:r>
              <w:t>1</w:t>
            </w:r>
          </w:p>
        </w:tc>
      </w:tr>
      <w:tr w:rsidR="00241147" w:rsidTr="006058CA">
        <w:tc>
          <w:tcPr>
            <w:tcW w:w="5211" w:type="dxa"/>
          </w:tcPr>
          <w:p w:rsidR="00241147" w:rsidRDefault="00241147" w:rsidP="006058CA">
            <w:r>
              <w:t>Number of children achieving below 29</w:t>
            </w:r>
          </w:p>
        </w:tc>
        <w:tc>
          <w:tcPr>
            <w:tcW w:w="2410" w:type="dxa"/>
          </w:tcPr>
          <w:p w:rsidR="00241147" w:rsidRDefault="007257EA" w:rsidP="006058CA">
            <w:r>
              <w:t>2</w:t>
            </w:r>
          </w:p>
        </w:tc>
      </w:tr>
    </w:tbl>
    <w:p w:rsidR="000404B3" w:rsidRDefault="000404B3"/>
    <w:p w:rsidR="008D5737" w:rsidRDefault="008D5737">
      <w:pPr>
        <w:rPr>
          <w:b/>
        </w:rPr>
      </w:pPr>
    </w:p>
    <w:p w:rsidR="008D5737" w:rsidRDefault="008D5737">
      <w:pPr>
        <w:rPr>
          <w:b/>
        </w:rPr>
      </w:pPr>
    </w:p>
    <w:p w:rsidR="008D5737" w:rsidRDefault="008D5737">
      <w:pPr>
        <w:rPr>
          <w:b/>
        </w:rPr>
      </w:pPr>
    </w:p>
    <w:p w:rsidR="007257EA" w:rsidRDefault="007257EA">
      <w:pPr>
        <w:rPr>
          <w:b/>
        </w:rPr>
      </w:pPr>
      <w:r w:rsidRPr="007257EA">
        <w:rPr>
          <w:b/>
        </w:rPr>
        <w:lastRenderedPageBreak/>
        <w:t>Progress of Pupils in English and Maths</w:t>
      </w:r>
    </w:p>
    <w:p w:rsidR="007257EA" w:rsidRDefault="007257EA">
      <w:pPr>
        <w:rPr>
          <w:b/>
        </w:rPr>
      </w:pPr>
    </w:p>
    <w:p w:rsidR="007257EA" w:rsidRDefault="007257EA">
      <w:r>
        <w:t xml:space="preserve">At St Luke’s we use the </w:t>
      </w:r>
      <w:proofErr w:type="spellStart"/>
      <w:r>
        <w:t>DfE</w:t>
      </w:r>
      <w:proofErr w:type="spellEnd"/>
      <w:r>
        <w:t xml:space="preserve"> recognised system for assessing pupil progress for children in Special Schools – Progression Guidance 2010-11.  The Progression Guidance Documents work on identifying how much progress children should make, at St Luke’s we compare the progress made by pupils to this data.  The following tables show how pupils At St Luke’s compare to the National Standards.</w:t>
      </w:r>
    </w:p>
    <w:p w:rsidR="002A2009" w:rsidRDefault="002A2009"/>
    <w:tbl>
      <w:tblPr>
        <w:tblStyle w:val="TableGrid"/>
        <w:tblW w:w="8755" w:type="dxa"/>
        <w:tblLook w:val="04A0" w:firstRow="1" w:lastRow="0" w:firstColumn="1" w:lastColumn="0" w:noHBand="0" w:noVBand="1"/>
      </w:tblPr>
      <w:tblGrid>
        <w:gridCol w:w="3369"/>
        <w:gridCol w:w="1842"/>
        <w:gridCol w:w="1701"/>
        <w:gridCol w:w="1843"/>
      </w:tblGrid>
      <w:tr w:rsidR="002A2009" w:rsidTr="002A2009">
        <w:trPr>
          <w:trHeight w:val="427"/>
        </w:trPr>
        <w:tc>
          <w:tcPr>
            <w:tcW w:w="3369" w:type="dxa"/>
          </w:tcPr>
          <w:p w:rsidR="002A2009" w:rsidRDefault="002A2009"/>
        </w:tc>
        <w:tc>
          <w:tcPr>
            <w:tcW w:w="1842" w:type="dxa"/>
            <w:shd w:val="clear" w:color="auto" w:fill="92D050"/>
            <w:vAlign w:val="center"/>
          </w:tcPr>
          <w:p w:rsidR="002A2009" w:rsidRPr="002A2009" w:rsidRDefault="002A2009" w:rsidP="002A2009">
            <w:pPr>
              <w:jc w:val="center"/>
              <w:rPr>
                <w:b/>
                <w:color w:val="000000"/>
                <w:sz w:val="22"/>
                <w:szCs w:val="22"/>
              </w:rPr>
            </w:pPr>
            <w:r w:rsidRPr="002A2009">
              <w:rPr>
                <w:b/>
                <w:color w:val="000000"/>
                <w:sz w:val="22"/>
                <w:szCs w:val="22"/>
              </w:rPr>
              <w:t>Green</w:t>
            </w:r>
          </w:p>
        </w:tc>
        <w:tc>
          <w:tcPr>
            <w:tcW w:w="1701" w:type="dxa"/>
            <w:shd w:val="clear" w:color="auto" w:fill="FFC000"/>
            <w:vAlign w:val="center"/>
          </w:tcPr>
          <w:p w:rsidR="002A2009" w:rsidRPr="002A2009" w:rsidRDefault="002A2009" w:rsidP="002A2009">
            <w:pPr>
              <w:jc w:val="center"/>
              <w:rPr>
                <w:b/>
                <w:color w:val="000000"/>
                <w:sz w:val="22"/>
                <w:szCs w:val="22"/>
              </w:rPr>
            </w:pPr>
            <w:r w:rsidRPr="002A2009">
              <w:rPr>
                <w:b/>
                <w:color w:val="000000"/>
                <w:sz w:val="22"/>
                <w:szCs w:val="22"/>
              </w:rPr>
              <w:t>Amber</w:t>
            </w:r>
          </w:p>
        </w:tc>
        <w:tc>
          <w:tcPr>
            <w:tcW w:w="1843" w:type="dxa"/>
            <w:shd w:val="clear" w:color="auto" w:fill="FF0000"/>
            <w:vAlign w:val="center"/>
          </w:tcPr>
          <w:p w:rsidR="002A2009" w:rsidRPr="002A2009" w:rsidRDefault="002A2009" w:rsidP="002A2009">
            <w:pPr>
              <w:jc w:val="center"/>
              <w:rPr>
                <w:b/>
                <w:color w:val="000000"/>
                <w:sz w:val="22"/>
                <w:szCs w:val="22"/>
              </w:rPr>
            </w:pPr>
            <w:r w:rsidRPr="002A2009">
              <w:rPr>
                <w:b/>
                <w:color w:val="000000"/>
                <w:sz w:val="22"/>
                <w:szCs w:val="22"/>
              </w:rPr>
              <w:t>Red</w:t>
            </w:r>
          </w:p>
        </w:tc>
      </w:tr>
      <w:tr w:rsidR="002A2009" w:rsidTr="002A2009">
        <w:tc>
          <w:tcPr>
            <w:tcW w:w="3369" w:type="dxa"/>
          </w:tcPr>
          <w:p w:rsidR="002A2009" w:rsidRDefault="002A2009">
            <w:r>
              <w:t>National Figures</w:t>
            </w:r>
          </w:p>
          <w:p w:rsidR="002A2009" w:rsidRDefault="002A2009">
            <w:r>
              <w:t>(all subjects)</w:t>
            </w:r>
          </w:p>
        </w:tc>
        <w:tc>
          <w:tcPr>
            <w:tcW w:w="1842" w:type="dxa"/>
            <w:vAlign w:val="center"/>
          </w:tcPr>
          <w:p w:rsidR="002A2009" w:rsidRDefault="002A2009" w:rsidP="002A2009">
            <w:pPr>
              <w:jc w:val="center"/>
            </w:pPr>
            <w:r>
              <w:t>25</w:t>
            </w:r>
          </w:p>
        </w:tc>
        <w:tc>
          <w:tcPr>
            <w:tcW w:w="1701" w:type="dxa"/>
            <w:vAlign w:val="center"/>
          </w:tcPr>
          <w:p w:rsidR="002A2009" w:rsidRDefault="002A2009" w:rsidP="002A2009">
            <w:pPr>
              <w:jc w:val="center"/>
            </w:pPr>
            <w:r>
              <w:t>25</w:t>
            </w:r>
          </w:p>
        </w:tc>
        <w:tc>
          <w:tcPr>
            <w:tcW w:w="1843" w:type="dxa"/>
            <w:vAlign w:val="center"/>
          </w:tcPr>
          <w:p w:rsidR="002A2009" w:rsidRDefault="002A2009" w:rsidP="002A2009">
            <w:pPr>
              <w:jc w:val="center"/>
            </w:pPr>
            <w:r>
              <w:t>50</w:t>
            </w:r>
          </w:p>
        </w:tc>
      </w:tr>
      <w:tr w:rsidR="002A2009" w:rsidTr="002A2009">
        <w:tc>
          <w:tcPr>
            <w:tcW w:w="3369" w:type="dxa"/>
          </w:tcPr>
          <w:p w:rsidR="002A2009" w:rsidRDefault="002A2009">
            <w:r>
              <w:t xml:space="preserve">Reading </w:t>
            </w:r>
          </w:p>
          <w:p w:rsidR="002A2009" w:rsidRDefault="002A2009">
            <w:r>
              <w:t>(St Luke’s)</w:t>
            </w:r>
          </w:p>
        </w:tc>
        <w:tc>
          <w:tcPr>
            <w:tcW w:w="1842" w:type="dxa"/>
            <w:vAlign w:val="center"/>
          </w:tcPr>
          <w:p w:rsidR="002A2009" w:rsidRPr="002A2009" w:rsidRDefault="002A2009" w:rsidP="002A2009">
            <w:pPr>
              <w:jc w:val="center"/>
              <w:rPr>
                <w:color w:val="000000"/>
              </w:rPr>
            </w:pPr>
            <w:r w:rsidRPr="002A2009">
              <w:rPr>
                <w:color w:val="000000"/>
              </w:rPr>
              <w:t>70</w:t>
            </w:r>
          </w:p>
        </w:tc>
        <w:tc>
          <w:tcPr>
            <w:tcW w:w="1701" w:type="dxa"/>
            <w:vAlign w:val="center"/>
          </w:tcPr>
          <w:p w:rsidR="002A2009" w:rsidRPr="002A2009" w:rsidRDefault="002A2009" w:rsidP="002A2009">
            <w:pPr>
              <w:jc w:val="center"/>
              <w:rPr>
                <w:color w:val="000000"/>
              </w:rPr>
            </w:pPr>
            <w:r w:rsidRPr="002A2009">
              <w:rPr>
                <w:color w:val="000000"/>
              </w:rPr>
              <w:t>17</w:t>
            </w:r>
          </w:p>
        </w:tc>
        <w:tc>
          <w:tcPr>
            <w:tcW w:w="1843" w:type="dxa"/>
            <w:vAlign w:val="center"/>
          </w:tcPr>
          <w:p w:rsidR="002A2009" w:rsidRPr="002A2009" w:rsidRDefault="002A2009" w:rsidP="002A2009">
            <w:pPr>
              <w:jc w:val="center"/>
              <w:rPr>
                <w:color w:val="000000"/>
              </w:rPr>
            </w:pPr>
            <w:r w:rsidRPr="002A2009">
              <w:rPr>
                <w:color w:val="000000"/>
              </w:rPr>
              <w:t>13</w:t>
            </w:r>
          </w:p>
        </w:tc>
      </w:tr>
      <w:tr w:rsidR="002A2009" w:rsidTr="002A2009">
        <w:tc>
          <w:tcPr>
            <w:tcW w:w="3369" w:type="dxa"/>
          </w:tcPr>
          <w:p w:rsidR="002A2009" w:rsidRDefault="002A2009">
            <w:r>
              <w:t xml:space="preserve">Writing </w:t>
            </w:r>
          </w:p>
          <w:p w:rsidR="002A2009" w:rsidRDefault="002A2009">
            <w:r>
              <w:t>(St Luke’s)</w:t>
            </w:r>
          </w:p>
        </w:tc>
        <w:tc>
          <w:tcPr>
            <w:tcW w:w="1842" w:type="dxa"/>
            <w:vAlign w:val="center"/>
          </w:tcPr>
          <w:p w:rsidR="002A2009" w:rsidRPr="002A2009" w:rsidRDefault="002A2009" w:rsidP="002A2009">
            <w:pPr>
              <w:jc w:val="center"/>
              <w:rPr>
                <w:color w:val="000000"/>
              </w:rPr>
            </w:pPr>
            <w:r w:rsidRPr="002A2009">
              <w:rPr>
                <w:color w:val="000000"/>
              </w:rPr>
              <w:t>64</w:t>
            </w:r>
          </w:p>
        </w:tc>
        <w:tc>
          <w:tcPr>
            <w:tcW w:w="1701" w:type="dxa"/>
            <w:vAlign w:val="center"/>
          </w:tcPr>
          <w:p w:rsidR="002A2009" w:rsidRPr="002A2009" w:rsidRDefault="002A2009" w:rsidP="002A2009">
            <w:pPr>
              <w:jc w:val="center"/>
              <w:rPr>
                <w:color w:val="000000"/>
              </w:rPr>
            </w:pPr>
            <w:r w:rsidRPr="002A2009">
              <w:rPr>
                <w:color w:val="000000"/>
              </w:rPr>
              <w:t>14</w:t>
            </w:r>
          </w:p>
        </w:tc>
        <w:tc>
          <w:tcPr>
            <w:tcW w:w="1843" w:type="dxa"/>
            <w:vAlign w:val="center"/>
          </w:tcPr>
          <w:p w:rsidR="002A2009" w:rsidRPr="002A2009" w:rsidRDefault="002A2009" w:rsidP="002A2009">
            <w:pPr>
              <w:jc w:val="center"/>
              <w:rPr>
                <w:color w:val="000000"/>
              </w:rPr>
            </w:pPr>
            <w:r w:rsidRPr="002A2009">
              <w:rPr>
                <w:color w:val="000000"/>
              </w:rPr>
              <w:t>22</w:t>
            </w:r>
          </w:p>
        </w:tc>
      </w:tr>
      <w:tr w:rsidR="002A2009" w:rsidTr="002A2009">
        <w:tc>
          <w:tcPr>
            <w:tcW w:w="3369" w:type="dxa"/>
          </w:tcPr>
          <w:p w:rsidR="002A2009" w:rsidRDefault="002A2009">
            <w:r>
              <w:t xml:space="preserve">Speaking </w:t>
            </w:r>
          </w:p>
          <w:p w:rsidR="002A2009" w:rsidRDefault="002A2009">
            <w:r>
              <w:t>(St Luke’s)</w:t>
            </w:r>
          </w:p>
        </w:tc>
        <w:tc>
          <w:tcPr>
            <w:tcW w:w="1842" w:type="dxa"/>
            <w:vAlign w:val="center"/>
          </w:tcPr>
          <w:p w:rsidR="002A2009" w:rsidRPr="002A2009" w:rsidRDefault="002A2009" w:rsidP="002A2009">
            <w:pPr>
              <w:jc w:val="center"/>
              <w:rPr>
                <w:color w:val="000000"/>
              </w:rPr>
            </w:pPr>
            <w:r w:rsidRPr="002A2009">
              <w:rPr>
                <w:color w:val="000000"/>
              </w:rPr>
              <w:t>70</w:t>
            </w:r>
          </w:p>
        </w:tc>
        <w:tc>
          <w:tcPr>
            <w:tcW w:w="1701" w:type="dxa"/>
            <w:vAlign w:val="center"/>
          </w:tcPr>
          <w:p w:rsidR="002A2009" w:rsidRPr="002A2009" w:rsidRDefault="002A2009" w:rsidP="002A2009">
            <w:pPr>
              <w:jc w:val="center"/>
              <w:rPr>
                <w:color w:val="000000"/>
              </w:rPr>
            </w:pPr>
            <w:r w:rsidRPr="002A2009">
              <w:rPr>
                <w:color w:val="000000"/>
              </w:rPr>
              <w:t>10</w:t>
            </w:r>
          </w:p>
        </w:tc>
        <w:tc>
          <w:tcPr>
            <w:tcW w:w="1843" w:type="dxa"/>
            <w:vAlign w:val="center"/>
          </w:tcPr>
          <w:p w:rsidR="002A2009" w:rsidRPr="002A2009" w:rsidRDefault="002A2009" w:rsidP="002A2009">
            <w:pPr>
              <w:jc w:val="center"/>
              <w:rPr>
                <w:color w:val="000000"/>
              </w:rPr>
            </w:pPr>
            <w:r w:rsidRPr="002A2009">
              <w:rPr>
                <w:color w:val="000000"/>
              </w:rPr>
              <w:t>20</w:t>
            </w:r>
          </w:p>
        </w:tc>
      </w:tr>
      <w:tr w:rsidR="002A2009" w:rsidTr="002A2009">
        <w:tc>
          <w:tcPr>
            <w:tcW w:w="3369" w:type="dxa"/>
          </w:tcPr>
          <w:p w:rsidR="002A2009" w:rsidRDefault="002A2009">
            <w:r>
              <w:t xml:space="preserve">Listening </w:t>
            </w:r>
          </w:p>
          <w:p w:rsidR="002A2009" w:rsidRPr="002A2009" w:rsidRDefault="002A2009">
            <w:pPr>
              <w:rPr>
                <w:b/>
              </w:rPr>
            </w:pPr>
            <w:r>
              <w:t>(St Luke’s)</w:t>
            </w:r>
          </w:p>
        </w:tc>
        <w:tc>
          <w:tcPr>
            <w:tcW w:w="1842" w:type="dxa"/>
            <w:vAlign w:val="center"/>
          </w:tcPr>
          <w:p w:rsidR="002A2009" w:rsidRPr="002A2009" w:rsidRDefault="002A2009" w:rsidP="002A2009">
            <w:pPr>
              <w:jc w:val="center"/>
              <w:rPr>
                <w:color w:val="000000"/>
              </w:rPr>
            </w:pPr>
            <w:r w:rsidRPr="002A2009">
              <w:rPr>
                <w:color w:val="000000"/>
              </w:rPr>
              <w:t>63</w:t>
            </w:r>
          </w:p>
        </w:tc>
        <w:tc>
          <w:tcPr>
            <w:tcW w:w="1701" w:type="dxa"/>
            <w:vAlign w:val="center"/>
          </w:tcPr>
          <w:p w:rsidR="002A2009" w:rsidRPr="002A2009" w:rsidRDefault="002A2009" w:rsidP="002A2009">
            <w:pPr>
              <w:jc w:val="center"/>
              <w:rPr>
                <w:color w:val="000000"/>
              </w:rPr>
            </w:pPr>
            <w:r w:rsidRPr="002A2009">
              <w:rPr>
                <w:color w:val="000000"/>
              </w:rPr>
              <w:t>21</w:t>
            </w:r>
          </w:p>
        </w:tc>
        <w:tc>
          <w:tcPr>
            <w:tcW w:w="1843" w:type="dxa"/>
            <w:vAlign w:val="center"/>
          </w:tcPr>
          <w:p w:rsidR="002A2009" w:rsidRPr="002A2009" w:rsidRDefault="002A2009" w:rsidP="002A2009">
            <w:pPr>
              <w:jc w:val="center"/>
              <w:rPr>
                <w:color w:val="000000"/>
              </w:rPr>
            </w:pPr>
            <w:r w:rsidRPr="002A2009">
              <w:rPr>
                <w:color w:val="000000"/>
              </w:rPr>
              <w:t>16</w:t>
            </w:r>
          </w:p>
        </w:tc>
      </w:tr>
      <w:tr w:rsidR="002A2009" w:rsidTr="002A2009">
        <w:tc>
          <w:tcPr>
            <w:tcW w:w="3369" w:type="dxa"/>
          </w:tcPr>
          <w:p w:rsidR="002A2009" w:rsidRDefault="002A2009">
            <w:r>
              <w:t xml:space="preserve">Number </w:t>
            </w:r>
          </w:p>
          <w:p w:rsidR="002A2009" w:rsidRDefault="002A2009">
            <w:r>
              <w:t>(St Luke’s)</w:t>
            </w:r>
          </w:p>
        </w:tc>
        <w:tc>
          <w:tcPr>
            <w:tcW w:w="1842" w:type="dxa"/>
            <w:vAlign w:val="center"/>
          </w:tcPr>
          <w:p w:rsidR="002A2009" w:rsidRPr="002A2009" w:rsidRDefault="002A2009" w:rsidP="002A2009">
            <w:pPr>
              <w:jc w:val="center"/>
              <w:rPr>
                <w:color w:val="000000"/>
              </w:rPr>
            </w:pPr>
            <w:r w:rsidRPr="002A2009">
              <w:rPr>
                <w:color w:val="000000"/>
              </w:rPr>
              <w:t>59</w:t>
            </w:r>
          </w:p>
        </w:tc>
        <w:tc>
          <w:tcPr>
            <w:tcW w:w="1701" w:type="dxa"/>
            <w:vAlign w:val="center"/>
          </w:tcPr>
          <w:p w:rsidR="002A2009" w:rsidRPr="002A2009" w:rsidRDefault="002A2009" w:rsidP="002A2009">
            <w:pPr>
              <w:jc w:val="center"/>
              <w:rPr>
                <w:color w:val="000000"/>
              </w:rPr>
            </w:pPr>
            <w:r w:rsidRPr="002A2009">
              <w:rPr>
                <w:color w:val="000000"/>
              </w:rPr>
              <w:t>25</w:t>
            </w:r>
          </w:p>
        </w:tc>
        <w:tc>
          <w:tcPr>
            <w:tcW w:w="1843" w:type="dxa"/>
            <w:vAlign w:val="center"/>
          </w:tcPr>
          <w:p w:rsidR="002A2009" w:rsidRPr="002A2009" w:rsidRDefault="002A2009" w:rsidP="002A2009">
            <w:pPr>
              <w:jc w:val="center"/>
              <w:rPr>
                <w:color w:val="000000"/>
              </w:rPr>
            </w:pPr>
            <w:r w:rsidRPr="002A2009">
              <w:rPr>
                <w:color w:val="000000"/>
              </w:rPr>
              <w:t>16</w:t>
            </w:r>
          </w:p>
        </w:tc>
      </w:tr>
      <w:tr w:rsidR="002A2009" w:rsidTr="002A2009">
        <w:tc>
          <w:tcPr>
            <w:tcW w:w="3369" w:type="dxa"/>
          </w:tcPr>
          <w:p w:rsidR="002A2009" w:rsidRDefault="002A2009">
            <w:r>
              <w:t xml:space="preserve">Using and Applying </w:t>
            </w:r>
          </w:p>
          <w:p w:rsidR="002A2009" w:rsidRDefault="002A2009">
            <w:r>
              <w:t>(St Luke’s)</w:t>
            </w:r>
          </w:p>
        </w:tc>
        <w:tc>
          <w:tcPr>
            <w:tcW w:w="1842" w:type="dxa"/>
            <w:vAlign w:val="center"/>
          </w:tcPr>
          <w:p w:rsidR="002A2009" w:rsidRPr="002A2009" w:rsidRDefault="002A2009" w:rsidP="002A2009">
            <w:pPr>
              <w:jc w:val="center"/>
              <w:rPr>
                <w:color w:val="000000"/>
              </w:rPr>
            </w:pPr>
            <w:r w:rsidRPr="002A2009">
              <w:rPr>
                <w:color w:val="000000"/>
              </w:rPr>
              <w:t>70</w:t>
            </w:r>
          </w:p>
        </w:tc>
        <w:tc>
          <w:tcPr>
            <w:tcW w:w="1701" w:type="dxa"/>
            <w:vAlign w:val="center"/>
          </w:tcPr>
          <w:p w:rsidR="002A2009" w:rsidRPr="002A2009" w:rsidRDefault="002A2009" w:rsidP="002A2009">
            <w:pPr>
              <w:jc w:val="center"/>
              <w:rPr>
                <w:color w:val="000000"/>
              </w:rPr>
            </w:pPr>
            <w:r w:rsidRPr="002A2009">
              <w:rPr>
                <w:color w:val="000000"/>
              </w:rPr>
              <w:t>11</w:t>
            </w:r>
          </w:p>
        </w:tc>
        <w:tc>
          <w:tcPr>
            <w:tcW w:w="1843" w:type="dxa"/>
            <w:vAlign w:val="center"/>
          </w:tcPr>
          <w:p w:rsidR="002A2009" w:rsidRPr="002A2009" w:rsidRDefault="002A2009" w:rsidP="002A2009">
            <w:pPr>
              <w:jc w:val="center"/>
              <w:rPr>
                <w:color w:val="000000"/>
              </w:rPr>
            </w:pPr>
            <w:r w:rsidRPr="002A2009">
              <w:rPr>
                <w:color w:val="000000"/>
              </w:rPr>
              <w:t>19</w:t>
            </w:r>
          </w:p>
        </w:tc>
      </w:tr>
      <w:tr w:rsidR="002A2009" w:rsidTr="002A2009">
        <w:tc>
          <w:tcPr>
            <w:tcW w:w="3369" w:type="dxa"/>
          </w:tcPr>
          <w:p w:rsidR="002A2009" w:rsidRDefault="002A2009">
            <w:r>
              <w:t xml:space="preserve">Shape, Space and Measure </w:t>
            </w:r>
          </w:p>
          <w:p w:rsidR="002A2009" w:rsidRDefault="002A2009">
            <w:r>
              <w:t>(St Luke’s)</w:t>
            </w:r>
          </w:p>
        </w:tc>
        <w:tc>
          <w:tcPr>
            <w:tcW w:w="1842" w:type="dxa"/>
            <w:vAlign w:val="center"/>
          </w:tcPr>
          <w:p w:rsidR="002A2009" w:rsidRPr="002A2009" w:rsidRDefault="002A2009" w:rsidP="002A2009">
            <w:pPr>
              <w:jc w:val="center"/>
              <w:rPr>
                <w:color w:val="000000"/>
              </w:rPr>
            </w:pPr>
            <w:r w:rsidRPr="002A2009">
              <w:rPr>
                <w:color w:val="000000"/>
              </w:rPr>
              <w:t>58</w:t>
            </w:r>
          </w:p>
        </w:tc>
        <w:tc>
          <w:tcPr>
            <w:tcW w:w="1701" w:type="dxa"/>
            <w:vAlign w:val="center"/>
          </w:tcPr>
          <w:p w:rsidR="002A2009" w:rsidRPr="002A2009" w:rsidRDefault="002A2009" w:rsidP="002A2009">
            <w:pPr>
              <w:jc w:val="center"/>
              <w:rPr>
                <w:color w:val="000000"/>
              </w:rPr>
            </w:pPr>
            <w:r w:rsidRPr="002A2009">
              <w:rPr>
                <w:color w:val="000000"/>
              </w:rPr>
              <w:t>17</w:t>
            </w:r>
          </w:p>
        </w:tc>
        <w:tc>
          <w:tcPr>
            <w:tcW w:w="1843" w:type="dxa"/>
            <w:vAlign w:val="center"/>
          </w:tcPr>
          <w:p w:rsidR="002A2009" w:rsidRPr="002A2009" w:rsidRDefault="002A2009" w:rsidP="002A2009">
            <w:pPr>
              <w:jc w:val="center"/>
              <w:rPr>
                <w:color w:val="000000"/>
              </w:rPr>
            </w:pPr>
            <w:r w:rsidRPr="002A2009">
              <w:rPr>
                <w:color w:val="000000"/>
              </w:rPr>
              <w:t>25</w:t>
            </w:r>
          </w:p>
        </w:tc>
      </w:tr>
    </w:tbl>
    <w:p w:rsidR="007257EA" w:rsidRDefault="007257EA"/>
    <w:p w:rsidR="007257EA" w:rsidRDefault="002A2009">
      <w:r>
        <w:t>The table clearly shows how children at St Luke’s outperform children nationally.</w:t>
      </w:r>
    </w:p>
    <w:p w:rsidR="002A2009" w:rsidRDefault="002A2009"/>
    <w:p w:rsidR="002A2009" w:rsidRDefault="002A2009">
      <w:pPr>
        <w:rPr>
          <w:b/>
        </w:rPr>
      </w:pPr>
      <w:r w:rsidRPr="002A2009">
        <w:rPr>
          <w:b/>
        </w:rPr>
        <w:t>End of Key Stage 2 Data</w:t>
      </w:r>
      <w:r>
        <w:rPr>
          <w:b/>
        </w:rPr>
        <w:t xml:space="preserve"> – Progression Guidance</w:t>
      </w:r>
    </w:p>
    <w:p w:rsidR="002A2009" w:rsidRDefault="002A2009">
      <w:pPr>
        <w:rPr>
          <w:b/>
        </w:rPr>
      </w:pPr>
    </w:p>
    <w:p w:rsidR="002A2009" w:rsidRDefault="002A2009">
      <w:r>
        <w:t>The following tables show how children in Year 6 have performed over the key stage.  The figures are only shown for children who have been at St Luke’s for over 2 years</w:t>
      </w:r>
      <w:r w:rsidR="008D5737">
        <w:t xml:space="preserve"> (11 children)</w:t>
      </w:r>
      <w:r>
        <w:t xml:space="preserve">. </w:t>
      </w:r>
    </w:p>
    <w:p w:rsidR="008D5737" w:rsidRDefault="008D5737" w:rsidP="008D5737">
      <w:pPr>
        <w:rPr>
          <w:b/>
        </w:rPr>
      </w:pPr>
    </w:p>
    <w:tbl>
      <w:tblPr>
        <w:tblW w:w="9471" w:type="dxa"/>
        <w:tblInd w:w="93" w:type="dxa"/>
        <w:tblLayout w:type="fixed"/>
        <w:tblLook w:val="04A0" w:firstRow="1" w:lastRow="0" w:firstColumn="1" w:lastColumn="0" w:noHBand="0" w:noVBand="1"/>
      </w:tblPr>
      <w:tblGrid>
        <w:gridCol w:w="1353"/>
        <w:gridCol w:w="1353"/>
        <w:gridCol w:w="1353"/>
        <w:gridCol w:w="1353"/>
        <w:gridCol w:w="1353"/>
        <w:gridCol w:w="1353"/>
        <w:gridCol w:w="1353"/>
      </w:tblGrid>
      <w:tr w:rsidR="008D5737" w:rsidRPr="001779E5" w:rsidTr="008D5737">
        <w:trPr>
          <w:trHeight w:val="413"/>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737" w:rsidRPr="008D5737" w:rsidRDefault="008D5737" w:rsidP="008D5737">
            <w:pPr>
              <w:spacing w:line="240" w:lineRule="auto"/>
              <w:jc w:val="center"/>
              <w:rPr>
                <w:rFonts w:eastAsia="Times New Roman"/>
                <w:b/>
                <w:sz w:val="20"/>
                <w:szCs w:val="20"/>
                <w:lang w:eastAsia="en-GB"/>
              </w:rPr>
            </w:pPr>
            <w:r w:rsidRPr="008D5737">
              <w:rPr>
                <w:rFonts w:eastAsia="Times New Roman"/>
                <w:b/>
                <w:sz w:val="20"/>
                <w:szCs w:val="20"/>
                <w:lang w:eastAsia="en-GB"/>
              </w:rPr>
              <w:t>Reading</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8D5737" w:rsidRPr="008D5737" w:rsidRDefault="008D5737" w:rsidP="008D5737">
            <w:pPr>
              <w:spacing w:line="240" w:lineRule="auto"/>
              <w:jc w:val="center"/>
              <w:rPr>
                <w:rFonts w:eastAsia="Times New Roman"/>
                <w:b/>
                <w:sz w:val="20"/>
                <w:szCs w:val="20"/>
                <w:lang w:eastAsia="en-GB"/>
              </w:rPr>
            </w:pPr>
            <w:r w:rsidRPr="008D5737">
              <w:rPr>
                <w:rFonts w:eastAsia="Times New Roman"/>
                <w:b/>
                <w:sz w:val="20"/>
                <w:szCs w:val="20"/>
                <w:lang w:eastAsia="en-GB"/>
              </w:rPr>
              <w:t>Writing</w:t>
            </w:r>
          </w:p>
        </w:tc>
        <w:tc>
          <w:tcPr>
            <w:tcW w:w="1353" w:type="dxa"/>
            <w:tcBorders>
              <w:top w:val="single" w:sz="4" w:space="0" w:color="auto"/>
              <w:left w:val="nil"/>
              <w:bottom w:val="single" w:sz="4" w:space="0" w:color="auto"/>
              <w:right w:val="single" w:sz="4" w:space="0" w:color="auto"/>
            </w:tcBorders>
            <w:vAlign w:val="center"/>
          </w:tcPr>
          <w:p w:rsidR="008D5737" w:rsidRPr="008D5737" w:rsidRDefault="008D5737" w:rsidP="008D5737">
            <w:pPr>
              <w:spacing w:line="240" w:lineRule="auto"/>
              <w:jc w:val="center"/>
              <w:rPr>
                <w:rFonts w:eastAsia="Times New Roman"/>
                <w:b/>
                <w:sz w:val="20"/>
                <w:szCs w:val="20"/>
                <w:lang w:eastAsia="en-GB"/>
              </w:rPr>
            </w:pPr>
            <w:r w:rsidRPr="008D5737">
              <w:rPr>
                <w:rFonts w:eastAsia="Times New Roman"/>
                <w:b/>
                <w:sz w:val="20"/>
                <w:szCs w:val="20"/>
                <w:lang w:eastAsia="en-GB"/>
              </w:rPr>
              <w:t>Speaking</w:t>
            </w:r>
          </w:p>
        </w:tc>
        <w:tc>
          <w:tcPr>
            <w:tcW w:w="1353" w:type="dxa"/>
            <w:tcBorders>
              <w:top w:val="single" w:sz="4" w:space="0" w:color="auto"/>
              <w:left w:val="nil"/>
              <w:bottom w:val="single" w:sz="4" w:space="0" w:color="auto"/>
              <w:right w:val="single" w:sz="4" w:space="0" w:color="auto"/>
            </w:tcBorders>
            <w:vAlign w:val="center"/>
          </w:tcPr>
          <w:p w:rsidR="008D5737" w:rsidRPr="008D5737" w:rsidRDefault="008D5737" w:rsidP="008D5737">
            <w:pPr>
              <w:spacing w:line="240" w:lineRule="auto"/>
              <w:jc w:val="center"/>
              <w:rPr>
                <w:rFonts w:eastAsia="Times New Roman"/>
                <w:b/>
                <w:sz w:val="20"/>
                <w:szCs w:val="20"/>
                <w:lang w:eastAsia="en-GB"/>
              </w:rPr>
            </w:pPr>
            <w:r w:rsidRPr="008D5737">
              <w:rPr>
                <w:rFonts w:eastAsia="Times New Roman"/>
                <w:b/>
                <w:sz w:val="20"/>
                <w:szCs w:val="20"/>
                <w:lang w:eastAsia="en-GB"/>
              </w:rPr>
              <w:t>Listening</w:t>
            </w:r>
          </w:p>
        </w:tc>
        <w:tc>
          <w:tcPr>
            <w:tcW w:w="1353" w:type="dxa"/>
            <w:tcBorders>
              <w:top w:val="single" w:sz="4" w:space="0" w:color="auto"/>
              <w:left w:val="nil"/>
              <w:bottom w:val="single" w:sz="4" w:space="0" w:color="auto"/>
              <w:right w:val="single" w:sz="4" w:space="0" w:color="auto"/>
            </w:tcBorders>
            <w:vAlign w:val="center"/>
          </w:tcPr>
          <w:p w:rsidR="008D5737" w:rsidRPr="008D5737" w:rsidRDefault="008D5737" w:rsidP="008D5737">
            <w:pPr>
              <w:spacing w:line="240" w:lineRule="auto"/>
              <w:jc w:val="center"/>
              <w:rPr>
                <w:rFonts w:eastAsia="Times New Roman"/>
                <w:b/>
                <w:sz w:val="20"/>
                <w:szCs w:val="20"/>
                <w:lang w:eastAsia="en-GB"/>
              </w:rPr>
            </w:pPr>
            <w:r w:rsidRPr="008D5737">
              <w:rPr>
                <w:rFonts w:eastAsia="Times New Roman"/>
                <w:b/>
                <w:sz w:val="20"/>
                <w:szCs w:val="20"/>
                <w:lang w:eastAsia="en-GB"/>
              </w:rPr>
              <w:t>Number</w:t>
            </w:r>
          </w:p>
        </w:tc>
        <w:tc>
          <w:tcPr>
            <w:tcW w:w="1353" w:type="dxa"/>
            <w:tcBorders>
              <w:top w:val="single" w:sz="4" w:space="0" w:color="auto"/>
              <w:left w:val="nil"/>
              <w:bottom w:val="single" w:sz="4" w:space="0" w:color="auto"/>
              <w:right w:val="single" w:sz="4" w:space="0" w:color="auto"/>
            </w:tcBorders>
            <w:vAlign w:val="center"/>
          </w:tcPr>
          <w:p w:rsidR="008D5737" w:rsidRPr="008D5737" w:rsidRDefault="008D5737" w:rsidP="008D5737">
            <w:pPr>
              <w:spacing w:line="240" w:lineRule="auto"/>
              <w:jc w:val="center"/>
              <w:rPr>
                <w:rFonts w:eastAsia="Times New Roman"/>
                <w:b/>
                <w:sz w:val="20"/>
                <w:szCs w:val="20"/>
                <w:lang w:eastAsia="en-GB"/>
              </w:rPr>
            </w:pPr>
            <w:r w:rsidRPr="008D5737">
              <w:rPr>
                <w:rFonts w:eastAsia="Times New Roman"/>
                <w:b/>
                <w:sz w:val="20"/>
                <w:szCs w:val="20"/>
                <w:lang w:eastAsia="en-GB"/>
              </w:rPr>
              <w:t>Using  + Applying</w:t>
            </w:r>
          </w:p>
        </w:tc>
        <w:tc>
          <w:tcPr>
            <w:tcW w:w="1353" w:type="dxa"/>
            <w:tcBorders>
              <w:top w:val="single" w:sz="4" w:space="0" w:color="auto"/>
              <w:left w:val="nil"/>
              <w:bottom w:val="single" w:sz="4" w:space="0" w:color="auto"/>
              <w:right w:val="single" w:sz="4" w:space="0" w:color="auto"/>
            </w:tcBorders>
            <w:vAlign w:val="center"/>
          </w:tcPr>
          <w:p w:rsidR="008D5737" w:rsidRPr="008D5737" w:rsidRDefault="008D5737" w:rsidP="008D5737">
            <w:pPr>
              <w:spacing w:line="240" w:lineRule="auto"/>
              <w:jc w:val="center"/>
              <w:rPr>
                <w:rFonts w:eastAsia="Times New Roman"/>
                <w:b/>
                <w:sz w:val="20"/>
                <w:szCs w:val="20"/>
                <w:lang w:eastAsia="en-GB"/>
              </w:rPr>
            </w:pPr>
            <w:r w:rsidRPr="008D5737">
              <w:rPr>
                <w:rFonts w:eastAsia="Times New Roman"/>
                <w:b/>
                <w:sz w:val="20"/>
                <w:szCs w:val="20"/>
                <w:lang w:eastAsia="en-GB"/>
              </w:rPr>
              <w:t>Shape, Space and Measure</w:t>
            </w:r>
          </w:p>
        </w:tc>
      </w:tr>
      <w:tr w:rsidR="008D5737" w:rsidRPr="001779E5" w:rsidTr="008D5737">
        <w:trPr>
          <w:trHeight w:val="413"/>
        </w:trPr>
        <w:tc>
          <w:tcPr>
            <w:tcW w:w="1353" w:type="dxa"/>
            <w:tcBorders>
              <w:top w:val="nil"/>
              <w:left w:val="single" w:sz="4" w:space="0" w:color="auto"/>
              <w:bottom w:val="single" w:sz="4" w:space="0" w:color="auto"/>
              <w:right w:val="single" w:sz="4" w:space="0" w:color="auto"/>
            </w:tcBorders>
            <w:shd w:val="clear" w:color="000000" w:fill="92D050"/>
            <w:noWrap/>
            <w:vAlign w:val="center"/>
            <w:hideMark/>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73%</w:t>
            </w:r>
          </w:p>
        </w:tc>
        <w:tc>
          <w:tcPr>
            <w:tcW w:w="1353" w:type="dxa"/>
            <w:tcBorders>
              <w:top w:val="nil"/>
              <w:left w:val="nil"/>
              <w:bottom w:val="single" w:sz="4" w:space="0" w:color="auto"/>
              <w:right w:val="single" w:sz="4" w:space="0" w:color="auto"/>
            </w:tcBorders>
            <w:shd w:val="clear" w:color="auto" w:fill="92D050"/>
            <w:noWrap/>
            <w:vAlign w:val="center"/>
            <w:hideMark/>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55%</w:t>
            </w:r>
          </w:p>
        </w:tc>
        <w:tc>
          <w:tcPr>
            <w:tcW w:w="1353" w:type="dxa"/>
            <w:tcBorders>
              <w:top w:val="nil"/>
              <w:left w:val="nil"/>
              <w:bottom w:val="single" w:sz="4" w:space="0" w:color="auto"/>
              <w:right w:val="single" w:sz="4" w:space="0" w:color="auto"/>
            </w:tcBorders>
            <w:shd w:val="clear" w:color="auto" w:fill="92D050"/>
            <w:vAlign w:val="center"/>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82%</w:t>
            </w:r>
          </w:p>
        </w:tc>
        <w:tc>
          <w:tcPr>
            <w:tcW w:w="1353" w:type="dxa"/>
            <w:tcBorders>
              <w:top w:val="nil"/>
              <w:left w:val="nil"/>
              <w:bottom w:val="single" w:sz="4" w:space="0" w:color="auto"/>
              <w:right w:val="single" w:sz="4" w:space="0" w:color="auto"/>
            </w:tcBorders>
            <w:shd w:val="clear" w:color="auto" w:fill="92D050"/>
            <w:vAlign w:val="center"/>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73%</w:t>
            </w:r>
          </w:p>
        </w:tc>
        <w:tc>
          <w:tcPr>
            <w:tcW w:w="1353" w:type="dxa"/>
            <w:tcBorders>
              <w:top w:val="nil"/>
              <w:left w:val="nil"/>
              <w:bottom w:val="single" w:sz="4" w:space="0" w:color="auto"/>
              <w:right w:val="single" w:sz="4" w:space="0" w:color="auto"/>
            </w:tcBorders>
            <w:shd w:val="clear" w:color="auto" w:fill="92D050"/>
            <w:vAlign w:val="center"/>
          </w:tcPr>
          <w:p w:rsidR="008D5737" w:rsidRDefault="008D5737" w:rsidP="008D5737">
            <w:pPr>
              <w:spacing w:line="240" w:lineRule="auto"/>
              <w:jc w:val="center"/>
              <w:rPr>
                <w:rFonts w:eastAsia="Times New Roman"/>
                <w:sz w:val="20"/>
                <w:szCs w:val="20"/>
                <w:lang w:eastAsia="en-GB"/>
              </w:rPr>
            </w:pPr>
            <w:r>
              <w:rPr>
                <w:rFonts w:eastAsia="Times New Roman"/>
                <w:sz w:val="20"/>
                <w:szCs w:val="20"/>
                <w:lang w:eastAsia="en-GB"/>
              </w:rPr>
              <w:t>82%</w:t>
            </w:r>
          </w:p>
        </w:tc>
        <w:tc>
          <w:tcPr>
            <w:tcW w:w="1353" w:type="dxa"/>
            <w:tcBorders>
              <w:top w:val="nil"/>
              <w:left w:val="nil"/>
              <w:bottom w:val="single" w:sz="4" w:space="0" w:color="auto"/>
              <w:right w:val="single" w:sz="4" w:space="0" w:color="auto"/>
            </w:tcBorders>
            <w:shd w:val="clear" w:color="auto" w:fill="92D050"/>
            <w:vAlign w:val="center"/>
          </w:tcPr>
          <w:p w:rsidR="008D5737" w:rsidRDefault="008D5737" w:rsidP="008D5737">
            <w:pPr>
              <w:spacing w:line="240" w:lineRule="auto"/>
              <w:jc w:val="center"/>
              <w:rPr>
                <w:rFonts w:eastAsia="Times New Roman"/>
                <w:sz w:val="20"/>
                <w:szCs w:val="20"/>
                <w:lang w:eastAsia="en-GB"/>
              </w:rPr>
            </w:pPr>
            <w:r>
              <w:rPr>
                <w:rFonts w:eastAsia="Times New Roman"/>
                <w:sz w:val="20"/>
                <w:szCs w:val="20"/>
                <w:lang w:eastAsia="en-GB"/>
              </w:rPr>
              <w:t>82%</w:t>
            </w:r>
          </w:p>
        </w:tc>
        <w:tc>
          <w:tcPr>
            <w:tcW w:w="1353" w:type="dxa"/>
            <w:tcBorders>
              <w:top w:val="nil"/>
              <w:left w:val="nil"/>
              <w:bottom w:val="single" w:sz="4" w:space="0" w:color="auto"/>
              <w:right w:val="single" w:sz="4" w:space="0" w:color="auto"/>
            </w:tcBorders>
            <w:shd w:val="clear" w:color="auto" w:fill="92D050"/>
            <w:vAlign w:val="center"/>
          </w:tcPr>
          <w:p w:rsidR="008D5737" w:rsidRDefault="008D5737" w:rsidP="008D5737">
            <w:pPr>
              <w:spacing w:line="240" w:lineRule="auto"/>
              <w:jc w:val="center"/>
              <w:rPr>
                <w:rFonts w:eastAsia="Times New Roman"/>
                <w:sz w:val="20"/>
                <w:szCs w:val="20"/>
                <w:lang w:eastAsia="en-GB"/>
              </w:rPr>
            </w:pPr>
            <w:r>
              <w:rPr>
                <w:rFonts w:eastAsia="Times New Roman"/>
                <w:sz w:val="20"/>
                <w:szCs w:val="20"/>
                <w:lang w:eastAsia="en-GB"/>
              </w:rPr>
              <w:t>100%</w:t>
            </w:r>
          </w:p>
        </w:tc>
      </w:tr>
      <w:tr w:rsidR="008D5737" w:rsidRPr="001779E5" w:rsidTr="008D5737">
        <w:trPr>
          <w:trHeight w:val="413"/>
        </w:trPr>
        <w:tc>
          <w:tcPr>
            <w:tcW w:w="1353" w:type="dxa"/>
            <w:tcBorders>
              <w:top w:val="nil"/>
              <w:left w:val="single" w:sz="4" w:space="0" w:color="auto"/>
              <w:bottom w:val="single" w:sz="4" w:space="0" w:color="auto"/>
              <w:right w:val="single" w:sz="4" w:space="0" w:color="auto"/>
            </w:tcBorders>
            <w:shd w:val="clear" w:color="auto" w:fill="FFC000"/>
            <w:noWrap/>
            <w:vAlign w:val="center"/>
            <w:hideMark/>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18%</w:t>
            </w:r>
          </w:p>
        </w:tc>
        <w:tc>
          <w:tcPr>
            <w:tcW w:w="1353" w:type="dxa"/>
            <w:tcBorders>
              <w:top w:val="nil"/>
              <w:left w:val="nil"/>
              <w:bottom w:val="single" w:sz="4" w:space="0" w:color="auto"/>
              <w:right w:val="single" w:sz="4" w:space="0" w:color="auto"/>
            </w:tcBorders>
            <w:shd w:val="clear" w:color="auto" w:fill="FFC000"/>
            <w:noWrap/>
            <w:vAlign w:val="center"/>
            <w:hideMark/>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45%</w:t>
            </w:r>
          </w:p>
        </w:tc>
        <w:tc>
          <w:tcPr>
            <w:tcW w:w="1353" w:type="dxa"/>
            <w:tcBorders>
              <w:top w:val="nil"/>
              <w:left w:val="nil"/>
              <w:bottom w:val="single" w:sz="4" w:space="0" w:color="auto"/>
              <w:right w:val="single" w:sz="4" w:space="0" w:color="auto"/>
            </w:tcBorders>
            <w:shd w:val="clear" w:color="auto" w:fill="FFC000"/>
            <w:vAlign w:val="center"/>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18%</w:t>
            </w:r>
          </w:p>
        </w:tc>
        <w:tc>
          <w:tcPr>
            <w:tcW w:w="1353" w:type="dxa"/>
            <w:tcBorders>
              <w:top w:val="nil"/>
              <w:left w:val="nil"/>
              <w:bottom w:val="single" w:sz="4" w:space="0" w:color="auto"/>
              <w:right w:val="single" w:sz="4" w:space="0" w:color="auto"/>
            </w:tcBorders>
            <w:shd w:val="clear" w:color="auto" w:fill="FFC000"/>
            <w:vAlign w:val="center"/>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27%</w:t>
            </w:r>
          </w:p>
        </w:tc>
        <w:tc>
          <w:tcPr>
            <w:tcW w:w="1353" w:type="dxa"/>
            <w:tcBorders>
              <w:top w:val="nil"/>
              <w:left w:val="nil"/>
              <w:bottom w:val="single" w:sz="4" w:space="0" w:color="auto"/>
              <w:right w:val="single" w:sz="4" w:space="0" w:color="auto"/>
            </w:tcBorders>
            <w:shd w:val="clear" w:color="auto" w:fill="FFC000"/>
            <w:vAlign w:val="center"/>
          </w:tcPr>
          <w:p w:rsidR="008D5737" w:rsidRDefault="008D5737" w:rsidP="008D5737">
            <w:pPr>
              <w:spacing w:line="240" w:lineRule="auto"/>
              <w:jc w:val="center"/>
              <w:rPr>
                <w:rFonts w:eastAsia="Times New Roman"/>
                <w:sz w:val="20"/>
                <w:szCs w:val="20"/>
                <w:lang w:eastAsia="en-GB"/>
              </w:rPr>
            </w:pPr>
            <w:r>
              <w:rPr>
                <w:rFonts w:eastAsia="Times New Roman"/>
                <w:sz w:val="20"/>
                <w:szCs w:val="20"/>
                <w:lang w:eastAsia="en-GB"/>
              </w:rPr>
              <w:t>18%</w:t>
            </w:r>
          </w:p>
        </w:tc>
        <w:tc>
          <w:tcPr>
            <w:tcW w:w="1353" w:type="dxa"/>
            <w:tcBorders>
              <w:top w:val="nil"/>
              <w:left w:val="nil"/>
              <w:bottom w:val="single" w:sz="4" w:space="0" w:color="auto"/>
              <w:right w:val="single" w:sz="4" w:space="0" w:color="auto"/>
            </w:tcBorders>
            <w:shd w:val="clear" w:color="auto" w:fill="FFC000"/>
            <w:vAlign w:val="center"/>
          </w:tcPr>
          <w:p w:rsidR="008D5737" w:rsidRDefault="008D5737" w:rsidP="008D5737">
            <w:pPr>
              <w:spacing w:line="240" w:lineRule="auto"/>
              <w:jc w:val="center"/>
              <w:rPr>
                <w:rFonts w:eastAsia="Times New Roman"/>
                <w:sz w:val="20"/>
                <w:szCs w:val="20"/>
                <w:lang w:eastAsia="en-GB"/>
              </w:rPr>
            </w:pPr>
            <w:r>
              <w:rPr>
                <w:rFonts w:eastAsia="Times New Roman"/>
                <w:sz w:val="20"/>
                <w:szCs w:val="20"/>
                <w:lang w:eastAsia="en-GB"/>
              </w:rPr>
              <w:t>9%</w:t>
            </w:r>
          </w:p>
        </w:tc>
        <w:tc>
          <w:tcPr>
            <w:tcW w:w="1353" w:type="dxa"/>
            <w:tcBorders>
              <w:top w:val="nil"/>
              <w:left w:val="nil"/>
              <w:bottom w:val="single" w:sz="4" w:space="0" w:color="auto"/>
              <w:right w:val="single" w:sz="4" w:space="0" w:color="auto"/>
            </w:tcBorders>
            <w:shd w:val="clear" w:color="auto" w:fill="FFC000"/>
            <w:vAlign w:val="center"/>
          </w:tcPr>
          <w:p w:rsidR="008D5737" w:rsidRDefault="008D5737" w:rsidP="008D5737">
            <w:pPr>
              <w:spacing w:line="240" w:lineRule="auto"/>
              <w:jc w:val="center"/>
              <w:rPr>
                <w:rFonts w:eastAsia="Times New Roman"/>
                <w:sz w:val="20"/>
                <w:szCs w:val="20"/>
                <w:lang w:eastAsia="en-GB"/>
              </w:rPr>
            </w:pPr>
            <w:r>
              <w:rPr>
                <w:rFonts w:eastAsia="Times New Roman"/>
                <w:sz w:val="20"/>
                <w:szCs w:val="20"/>
                <w:lang w:eastAsia="en-GB"/>
              </w:rPr>
              <w:t>0%</w:t>
            </w:r>
          </w:p>
        </w:tc>
      </w:tr>
      <w:tr w:rsidR="008D5737" w:rsidRPr="001779E5" w:rsidTr="008D5737">
        <w:trPr>
          <w:trHeight w:val="413"/>
        </w:trPr>
        <w:tc>
          <w:tcPr>
            <w:tcW w:w="1353" w:type="dxa"/>
            <w:tcBorders>
              <w:top w:val="nil"/>
              <w:left w:val="single" w:sz="4" w:space="0" w:color="auto"/>
              <w:bottom w:val="single" w:sz="4" w:space="0" w:color="auto"/>
              <w:right w:val="single" w:sz="4" w:space="0" w:color="auto"/>
            </w:tcBorders>
            <w:shd w:val="clear" w:color="auto" w:fill="FF0000"/>
            <w:noWrap/>
            <w:vAlign w:val="center"/>
            <w:hideMark/>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9%</w:t>
            </w:r>
          </w:p>
        </w:tc>
        <w:tc>
          <w:tcPr>
            <w:tcW w:w="1353" w:type="dxa"/>
            <w:tcBorders>
              <w:top w:val="nil"/>
              <w:left w:val="nil"/>
              <w:bottom w:val="single" w:sz="4" w:space="0" w:color="auto"/>
              <w:right w:val="single" w:sz="4" w:space="0" w:color="auto"/>
            </w:tcBorders>
            <w:shd w:val="clear" w:color="auto" w:fill="FF0000"/>
            <w:noWrap/>
            <w:vAlign w:val="center"/>
            <w:hideMark/>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0%</w:t>
            </w:r>
          </w:p>
        </w:tc>
        <w:tc>
          <w:tcPr>
            <w:tcW w:w="1353" w:type="dxa"/>
            <w:tcBorders>
              <w:top w:val="nil"/>
              <w:left w:val="nil"/>
              <w:bottom w:val="single" w:sz="4" w:space="0" w:color="auto"/>
              <w:right w:val="single" w:sz="4" w:space="0" w:color="auto"/>
            </w:tcBorders>
            <w:shd w:val="clear" w:color="auto" w:fill="FF0000"/>
            <w:vAlign w:val="center"/>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0%</w:t>
            </w:r>
          </w:p>
        </w:tc>
        <w:tc>
          <w:tcPr>
            <w:tcW w:w="1353" w:type="dxa"/>
            <w:tcBorders>
              <w:top w:val="nil"/>
              <w:left w:val="nil"/>
              <w:bottom w:val="single" w:sz="4" w:space="0" w:color="auto"/>
              <w:right w:val="single" w:sz="4" w:space="0" w:color="auto"/>
            </w:tcBorders>
            <w:shd w:val="clear" w:color="auto" w:fill="FF0000"/>
            <w:vAlign w:val="center"/>
          </w:tcPr>
          <w:p w:rsidR="008D5737" w:rsidRPr="001779E5" w:rsidRDefault="008D5737" w:rsidP="008D5737">
            <w:pPr>
              <w:spacing w:line="240" w:lineRule="auto"/>
              <w:jc w:val="center"/>
              <w:rPr>
                <w:rFonts w:eastAsia="Times New Roman"/>
                <w:sz w:val="20"/>
                <w:szCs w:val="20"/>
                <w:lang w:eastAsia="en-GB"/>
              </w:rPr>
            </w:pPr>
            <w:r w:rsidRPr="001779E5">
              <w:rPr>
                <w:rFonts w:eastAsia="Times New Roman"/>
                <w:sz w:val="20"/>
                <w:szCs w:val="20"/>
                <w:lang w:eastAsia="en-GB"/>
              </w:rPr>
              <w:t>9%</w:t>
            </w:r>
          </w:p>
        </w:tc>
        <w:tc>
          <w:tcPr>
            <w:tcW w:w="1353" w:type="dxa"/>
            <w:tcBorders>
              <w:top w:val="nil"/>
              <w:left w:val="nil"/>
              <w:bottom w:val="single" w:sz="4" w:space="0" w:color="auto"/>
              <w:right w:val="single" w:sz="4" w:space="0" w:color="auto"/>
            </w:tcBorders>
            <w:shd w:val="clear" w:color="auto" w:fill="FF0000"/>
            <w:vAlign w:val="center"/>
          </w:tcPr>
          <w:p w:rsidR="008D5737" w:rsidRDefault="008D5737" w:rsidP="008D5737">
            <w:pPr>
              <w:spacing w:line="240" w:lineRule="auto"/>
              <w:jc w:val="center"/>
              <w:rPr>
                <w:rFonts w:eastAsia="Times New Roman"/>
                <w:sz w:val="20"/>
                <w:szCs w:val="20"/>
                <w:lang w:eastAsia="en-GB"/>
              </w:rPr>
            </w:pPr>
            <w:r>
              <w:rPr>
                <w:rFonts w:eastAsia="Times New Roman"/>
                <w:sz w:val="20"/>
                <w:szCs w:val="20"/>
                <w:lang w:eastAsia="en-GB"/>
              </w:rPr>
              <w:t>0%</w:t>
            </w:r>
          </w:p>
        </w:tc>
        <w:tc>
          <w:tcPr>
            <w:tcW w:w="1353" w:type="dxa"/>
            <w:tcBorders>
              <w:top w:val="nil"/>
              <w:left w:val="nil"/>
              <w:bottom w:val="single" w:sz="4" w:space="0" w:color="auto"/>
              <w:right w:val="single" w:sz="4" w:space="0" w:color="auto"/>
            </w:tcBorders>
            <w:shd w:val="clear" w:color="auto" w:fill="FF0000"/>
            <w:vAlign w:val="center"/>
          </w:tcPr>
          <w:p w:rsidR="008D5737" w:rsidRDefault="008D5737" w:rsidP="008D5737">
            <w:pPr>
              <w:spacing w:line="240" w:lineRule="auto"/>
              <w:jc w:val="center"/>
              <w:rPr>
                <w:rFonts w:eastAsia="Times New Roman"/>
                <w:sz w:val="20"/>
                <w:szCs w:val="20"/>
                <w:lang w:eastAsia="en-GB"/>
              </w:rPr>
            </w:pPr>
            <w:r>
              <w:rPr>
                <w:rFonts w:eastAsia="Times New Roman"/>
                <w:sz w:val="20"/>
                <w:szCs w:val="20"/>
                <w:lang w:eastAsia="en-GB"/>
              </w:rPr>
              <w:t>9%</w:t>
            </w:r>
          </w:p>
        </w:tc>
        <w:tc>
          <w:tcPr>
            <w:tcW w:w="1353" w:type="dxa"/>
            <w:tcBorders>
              <w:top w:val="nil"/>
              <w:left w:val="nil"/>
              <w:bottom w:val="single" w:sz="4" w:space="0" w:color="auto"/>
              <w:right w:val="single" w:sz="4" w:space="0" w:color="auto"/>
            </w:tcBorders>
            <w:shd w:val="clear" w:color="auto" w:fill="FF0000"/>
            <w:vAlign w:val="center"/>
          </w:tcPr>
          <w:p w:rsidR="008D5737" w:rsidRDefault="008D5737" w:rsidP="008D5737">
            <w:pPr>
              <w:spacing w:line="240" w:lineRule="auto"/>
              <w:jc w:val="center"/>
              <w:rPr>
                <w:rFonts w:eastAsia="Times New Roman"/>
                <w:sz w:val="20"/>
                <w:szCs w:val="20"/>
                <w:lang w:eastAsia="en-GB"/>
              </w:rPr>
            </w:pPr>
            <w:r>
              <w:rPr>
                <w:rFonts w:eastAsia="Times New Roman"/>
                <w:sz w:val="20"/>
                <w:szCs w:val="20"/>
                <w:lang w:eastAsia="en-GB"/>
              </w:rPr>
              <w:t>0%</w:t>
            </w:r>
          </w:p>
        </w:tc>
      </w:tr>
    </w:tbl>
    <w:p w:rsidR="008D5737" w:rsidRDefault="008D5737" w:rsidP="008D5737">
      <w:pPr>
        <w:rPr>
          <w:b/>
        </w:rPr>
      </w:pPr>
    </w:p>
    <w:p w:rsidR="008D5737" w:rsidRDefault="008D5737" w:rsidP="008D5737">
      <w:pPr>
        <w:jc w:val="center"/>
        <w:rPr>
          <w:b/>
        </w:rPr>
      </w:pPr>
    </w:p>
    <w:p w:rsidR="008D5737" w:rsidRDefault="008D5737" w:rsidP="008D5737">
      <w:pPr>
        <w:jc w:val="center"/>
        <w:rPr>
          <w:b/>
        </w:rPr>
      </w:pPr>
    </w:p>
    <w:p w:rsidR="008D5737" w:rsidRDefault="008D5737" w:rsidP="008D5737">
      <w:pPr>
        <w:jc w:val="center"/>
        <w:rPr>
          <w:b/>
        </w:rPr>
      </w:pPr>
    </w:p>
    <w:p w:rsidR="008D5737" w:rsidRDefault="008D5737" w:rsidP="008D5737">
      <w:pPr>
        <w:jc w:val="center"/>
        <w:rPr>
          <w:b/>
        </w:rPr>
      </w:pPr>
    </w:p>
    <w:p w:rsidR="008D5737" w:rsidRDefault="008D5737" w:rsidP="008D5737">
      <w:pPr>
        <w:jc w:val="center"/>
        <w:rPr>
          <w:b/>
        </w:rPr>
      </w:pPr>
    </w:p>
    <w:p w:rsidR="008D5737" w:rsidRDefault="008D5737" w:rsidP="008D5737">
      <w:pPr>
        <w:jc w:val="center"/>
        <w:rPr>
          <w:b/>
        </w:rPr>
      </w:pPr>
    </w:p>
    <w:p w:rsidR="008D5737" w:rsidRDefault="008D5737" w:rsidP="008D5737">
      <w:pPr>
        <w:jc w:val="center"/>
        <w:rPr>
          <w:b/>
        </w:rPr>
      </w:pPr>
    </w:p>
    <w:p w:rsidR="008D5737" w:rsidRDefault="008D5737" w:rsidP="008D5737">
      <w:pPr>
        <w:jc w:val="center"/>
        <w:rPr>
          <w:b/>
        </w:rPr>
      </w:pPr>
    </w:p>
    <w:p w:rsidR="008D5737" w:rsidRDefault="008D5737" w:rsidP="008D5737">
      <w:pPr>
        <w:jc w:val="center"/>
        <w:rPr>
          <w:b/>
        </w:rPr>
      </w:pPr>
    </w:p>
    <w:p w:rsidR="008D5737" w:rsidRDefault="008D5737" w:rsidP="008D5737">
      <w:pPr>
        <w:jc w:val="center"/>
        <w:rPr>
          <w:b/>
        </w:rPr>
      </w:pPr>
    </w:p>
    <w:p w:rsidR="008D5737" w:rsidRPr="00D660E6" w:rsidRDefault="008D5737" w:rsidP="008D5737">
      <w:pPr>
        <w:jc w:val="center"/>
        <w:rPr>
          <w:b/>
        </w:rPr>
      </w:pPr>
      <w:r w:rsidRPr="00D660E6">
        <w:rPr>
          <w:b/>
        </w:rPr>
        <w:lastRenderedPageBreak/>
        <w:t>Pupil Progress in English and Maths - Year on Year Comparisons</w:t>
      </w:r>
    </w:p>
    <w:p w:rsidR="008D5737" w:rsidRPr="00D660E6" w:rsidRDefault="008D5737" w:rsidP="008D5737"/>
    <w:p w:rsidR="008D5737" w:rsidRPr="00D660E6" w:rsidRDefault="008D5737" w:rsidP="008D5737">
      <w:pPr>
        <w:jc w:val="center"/>
      </w:pPr>
      <w:r w:rsidRPr="00D660E6">
        <w:rPr>
          <w:noProof/>
          <w:color w:val="000000" w:themeColor="text1"/>
          <w:lang w:eastAsia="en-GB"/>
        </w:rPr>
        <w:drawing>
          <wp:inline distT="0" distB="0" distL="0" distR="0" wp14:anchorId="69295D7C" wp14:editId="72F44033">
            <wp:extent cx="5400000" cy="2340000"/>
            <wp:effectExtent l="0" t="0" r="10795" b="222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D5737" w:rsidRPr="00D660E6" w:rsidRDefault="008D5737" w:rsidP="008D5737">
      <w:pPr>
        <w:tabs>
          <w:tab w:val="left" w:pos="1141"/>
        </w:tabs>
        <w:rPr>
          <w:sz w:val="12"/>
          <w:szCs w:val="12"/>
        </w:rPr>
      </w:pPr>
      <w:r w:rsidRPr="00D660E6">
        <w:tab/>
      </w:r>
    </w:p>
    <w:p w:rsidR="008D5737" w:rsidRPr="00D660E6" w:rsidRDefault="008D5737" w:rsidP="008D5737">
      <w:pPr>
        <w:jc w:val="center"/>
      </w:pPr>
      <w:r w:rsidRPr="00D660E6">
        <w:rPr>
          <w:noProof/>
          <w:color w:val="000000" w:themeColor="text1"/>
          <w:lang w:eastAsia="en-GB"/>
        </w:rPr>
        <w:drawing>
          <wp:inline distT="0" distB="0" distL="0" distR="0" wp14:anchorId="1F4FE2C9" wp14:editId="56BBEF0B">
            <wp:extent cx="5400000" cy="2340000"/>
            <wp:effectExtent l="0" t="0" r="10795" b="222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5737" w:rsidRPr="00D660E6" w:rsidRDefault="008D5737" w:rsidP="008D5737">
      <w:pPr>
        <w:rPr>
          <w:sz w:val="12"/>
          <w:szCs w:val="12"/>
        </w:rPr>
      </w:pPr>
    </w:p>
    <w:p w:rsidR="008D5737" w:rsidRPr="00D660E6" w:rsidRDefault="008D5737" w:rsidP="008D5737">
      <w:pPr>
        <w:jc w:val="center"/>
      </w:pPr>
      <w:r w:rsidRPr="00D660E6">
        <w:rPr>
          <w:noProof/>
          <w:color w:val="000000" w:themeColor="text1"/>
          <w:lang w:eastAsia="en-GB"/>
        </w:rPr>
        <w:drawing>
          <wp:inline distT="0" distB="0" distL="0" distR="0" wp14:anchorId="02CE516A" wp14:editId="40160FDF">
            <wp:extent cx="5400000" cy="2340000"/>
            <wp:effectExtent l="0" t="0" r="10795" b="222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5737" w:rsidRPr="00D660E6" w:rsidRDefault="008D5737" w:rsidP="008D5737"/>
    <w:p w:rsidR="008D5737" w:rsidRPr="00D660E6" w:rsidRDefault="008D5737" w:rsidP="008D5737">
      <w:pPr>
        <w:jc w:val="center"/>
      </w:pPr>
      <w:r w:rsidRPr="00D660E6">
        <w:rPr>
          <w:noProof/>
          <w:lang w:eastAsia="en-GB"/>
        </w:rPr>
        <w:lastRenderedPageBreak/>
        <w:drawing>
          <wp:inline distT="0" distB="0" distL="0" distR="0" wp14:anchorId="296BB8FB" wp14:editId="24A42CEF">
            <wp:extent cx="5400000" cy="2340000"/>
            <wp:effectExtent l="0" t="0" r="10795" b="222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5737" w:rsidRPr="00D660E6" w:rsidRDefault="008D5737" w:rsidP="008D5737">
      <w:pPr>
        <w:rPr>
          <w:sz w:val="12"/>
          <w:szCs w:val="12"/>
        </w:rPr>
      </w:pPr>
    </w:p>
    <w:p w:rsidR="008D5737" w:rsidRPr="00D660E6" w:rsidRDefault="008D5737" w:rsidP="008D5737">
      <w:pPr>
        <w:jc w:val="center"/>
      </w:pPr>
      <w:r w:rsidRPr="00D660E6">
        <w:rPr>
          <w:noProof/>
          <w:lang w:eastAsia="en-GB"/>
        </w:rPr>
        <w:drawing>
          <wp:inline distT="0" distB="0" distL="0" distR="0" wp14:anchorId="495C85B2" wp14:editId="7D81D254">
            <wp:extent cx="5400000" cy="2340000"/>
            <wp:effectExtent l="0" t="0" r="10795"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5737" w:rsidRPr="00D660E6" w:rsidRDefault="008D5737" w:rsidP="008D5737">
      <w:pPr>
        <w:rPr>
          <w:sz w:val="12"/>
          <w:szCs w:val="12"/>
        </w:rPr>
      </w:pPr>
    </w:p>
    <w:p w:rsidR="008D5737" w:rsidRPr="00D660E6" w:rsidRDefault="008D5737" w:rsidP="008D5737">
      <w:pPr>
        <w:jc w:val="center"/>
      </w:pPr>
      <w:r w:rsidRPr="00D660E6">
        <w:rPr>
          <w:noProof/>
          <w:lang w:eastAsia="en-GB"/>
        </w:rPr>
        <w:drawing>
          <wp:inline distT="0" distB="0" distL="0" distR="0" wp14:anchorId="786EEA75" wp14:editId="522573C7">
            <wp:extent cx="5400000" cy="2340000"/>
            <wp:effectExtent l="0" t="0" r="10795"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5737" w:rsidRPr="00D660E6" w:rsidRDefault="008D5737" w:rsidP="008D5737">
      <w:pPr>
        <w:rPr>
          <w:sz w:val="12"/>
          <w:szCs w:val="12"/>
        </w:rPr>
      </w:pPr>
    </w:p>
    <w:p w:rsidR="008D5737" w:rsidRPr="008D5737" w:rsidRDefault="008D5737" w:rsidP="008D5737">
      <w:pPr>
        <w:jc w:val="center"/>
      </w:pPr>
      <w:r w:rsidRPr="00D660E6">
        <w:rPr>
          <w:noProof/>
          <w:lang w:eastAsia="en-GB"/>
        </w:rPr>
        <w:drawing>
          <wp:inline distT="0" distB="0" distL="0" distR="0" wp14:anchorId="0783FD54" wp14:editId="6D9A3FA7">
            <wp:extent cx="5400000" cy="2520000"/>
            <wp:effectExtent l="0" t="0" r="1079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sectPr w:rsidR="008D5737" w:rsidRPr="008D5737" w:rsidSect="008D5737">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6405"/>
    <w:multiLevelType w:val="multilevel"/>
    <w:tmpl w:val="E21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B3"/>
    <w:rsid w:val="000404B3"/>
    <w:rsid w:val="00241147"/>
    <w:rsid w:val="002A2009"/>
    <w:rsid w:val="007257EA"/>
    <w:rsid w:val="008D5737"/>
    <w:rsid w:val="00C40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4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4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83923">
      <w:bodyDiv w:val="1"/>
      <w:marLeft w:val="0"/>
      <w:marRight w:val="0"/>
      <w:marTop w:val="0"/>
      <w:marBottom w:val="0"/>
      <w:divBdr>
        <w:top w:val="none" w:sz="0" w:space="0" w:color="auto"/>
        <w:left w:val="none" w:sz="0" w:space="0" w:color="auto"/>
        <w:bottom w:val="none" w:sz="0" w:space="0" w:color="auto"/>
        <w:right w:val="none" w:sz="0" w:space="0" w:color="auto"/>
      </w:divBdr>
      <w:divsChild>
        <w:div w:id="1169564435">
          <w:marLeft w:val="0"/>
          <w:marRight w:val="0"/>
          <w:marTop w:val="0"/>
          <w:marBottom w:val="0"/>
          <w:divBdr>
            <w:top w:val="none" w:sz="0" w:space="0" w:color="auto"/>
            <w:left w:val="none" w:sz="0" w:space="0" w:color="auto"/>
            <w:bottom w:val="none" w:sz="0" w:space="0" w:color="auto"/>
            <w:right w:val="none" w:sz="0" w:space="0" w:color="auto"/>
          </w:divBdr>
          <w:divsChild>
            <w:div w:id="1252590147">
              <w:marLeft w:val="0"/>
              <w:marRight w:val="0"/>
              <w:marTop w:val="0"/>
              <w:marBottom w:val="0"/>
              <w:divBdr>
                <w:top w:val="none" w:sz="0" w:space="0" w:color="auto"/>
                <w:left w:val="none" w:sz="0" w:space="0" w:color="auto"/>
                <w:bottom w:val="none" w:sz="0" w:space="0" w:color="auto"/>
                <w:right w:val="none" w:sz="0" w:space="0" w:color="auto"/>
              </w:divBdr>
              <w:divsChild>
                <w:div w:id="1974212511">
                  <w:marLeft w:val="0"/>
                  <w:marRight w:val="0"/>
                  <w:marTop w:val="0"/>
                  <w:marBottom w:val="0"/>
                  <w:divBdr>
                    <w:top w:val="none" w:sz="0" w:space="0" w:color="auto"/>
                    <w:left w:val="none" w:sz="0" w:space="0" w:color="auto"/>
                    <w:bottom w:val="none" w:sz="0" w:space="0" w:color="auto"/>
                    <w:right w:val="none" w:sz="0" w:space="0" w:color="auto"/>
                  </w:divBdr>
                  <w:divsChild>
                    <w:div w:id="641160638">
                      <w:marLeft w:val="0"/>
                      <w:marRight w:val="0"/>
                      <w:marTop w:val="0"/>
                      <w:marBottom w:val="0"/>
                      <w:divBdr>
                        <w:top w:val="none" w:sz="0" w:space="0" w:color="auto"/>
                        <w:left w:val="none" w:sz="0" w:space="0" w:color="auto"/>
                        <w:bottom w:val="none" w:sz="0" w:space="0" w:color="auto"/>
                        <w:right w:val="none" w:sz="0" w:space="0" w:color="auto"/>
                      </w:divBdr>
                      <w:divsChild>
                        <w:div w:id="832331587">
                          <w:marLeft w:val="0"/>
                          <w:marRight w:val="0"/>
                          <w:marTop w:val="0"/>
                          <w:marBottom w:val="0"/>
                          <w:divBdr>
                            <w:top w:val="none" w:sz="0" w:space="0" w:color="auto"/>
                            <w:left w:val="none" w:sz="0" w:space="0" w:color="auto"/>
                            <w:bottom w:val="none" w:sz="0" w:space="0" w:color="auto"/>
                            <w:right w:val="none" w:sz="0" w:space="0" w:color="auto"/>
                          </w:divBdr>
                          <w:divsChild>
                            <w:div w:id="8496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sz="1200">
                <a:latin typeface="Arial" panose="020B0604020202020204" pitchFamily="34" charset="0"/>
                <a:cs typeface="Arial" panose="020B0604020202020204" pitchFamily="34" charset="0"/>
              </a:rPr>
              <a:t>Reading</a:t>
            </a:r>
          </a:p>
        </c:rich>
      </c:tx>
      <c:overlay val="0"/>
    </c:title>
    <c:autoTitleDeleted val="0"/>
    <c:plotArea>
      <c:layout/>
      <c:barChart>
        <c:barDir val="col"/>
        <c:grouping val="percentStacked"/>
        <c:varyColors val="0"/>
        <c:ser>
          <c:idx val="0"/>
          <c:order val="0"/>
          <c:tx>
            <c:strRef>
              <c:f>Sheet1!$B$1</c:f>
              <c:strCache>
                <c:ptCount val="1"/>
                <c:pt idx="0">
                  <c:v>Outstanding</c:v>
                </c:pt>
              </c:strCache>
            </c:strRef>
          </c:tx>
          <c:spPr>
            <a:solidFill>
              <a:srgbClr val="00B050"/>
            </a:solidFill>
          </c:spPr>
          <c:invertIfNegative val="0"/>
          <c:dPt>
            <c:idx val="0"/>
            <c:invertIfNegative val="0"/>
            <c:bubble3D val="0"/>
            <c:spPr>
              <a:solidFill>
                <a:srgbClr val="00B050"/>
              </a:solidFill>
              <a:ln>
                <a:solidFill>
                  <a:srgbClr val="00B050"/>
                </a:solidFill>
              </a:ln>
            </c:spPr>
          </c:dPt>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65</c:v>
                </c:pt>
                <c:pt idx="1">
                  <c:v>57</c:v>
                </c:pt>
                <c:pt idx="2">
                  <c:v>66</c:v>
                </c:pt>
                <c:pt idx="3">
                  <c:v>70</c:v>
                </c:pt>
              </c:numCache>
            </c:numRef>
          </c:val>
        </c:ser>
        <c:ser>
          <c:idx val="1"/>
          <c:order val="1"/>
          <c:tx>
            <c:strRef>
              <c:f>Sheet1!$C$1</c:f>
              <c:strCache>
                <c:ptCount val="1"/>
                <c:pt idx="0">
                  <c:v>Good</c:v>
                </c:pt>
              </c:strCache>
            </c:strRef>
          </c:tx>
          <c:spPr>
            <a:solidFill>
              <a:srgbClr val="FFC000"/>
            </a:solidFill>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7</c:v>
                </c:pt>
                <c:pt idx="1">
                  <c:v>18</c:v>
                </c:pt>
                <c:pt idx="2">
                  <c:v>9</c:v>
                </c:pt>
                <c:pt idx="3">
                  <c:v>17</c:v>
                </c:pt>
              </c:numCache>
            </c:numRef>
          </c:val>
        </c:ser>
        <c:ser>
          <c:idx val="2"/>
          <c:order val="2"/>
          <c:tx>
            <c:strRef>
              <c:f>Sheet1!$D$1</c:f>
              <c:strCache>
                <c:ptCount val="1"/>
                <c:pt idx="0">
                  <c:v>Requires Improvement</c:v>
                </c:pt>
              </c:strCache>
            </c:strRef>
          </c:tx>
          <c:spPr>
            <a:solidFill>
              <a:srgbClr val="FF0000"/>
            </a:solidFill>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28</c:v>
                </c:pt>
                <c:pt idx="1">
                  <c:v>26</c:v>
                </c:pt>
                <c:pt idx="2">
                  <c:v>25</c:v>
                </c:pt>
                <c:pt idx="3">
                  <c:v>13</c:v>
                </c:pt>
              </c:numCache>
            </c:numRef>
          </c:val>
        </c:ser>
        <c:dLbls>
          <c:showLegendKey val="0"/>
          <c:showVal val="1"/>
          <c:showCatName val="0"/>
          <c:showSerName val="0"/>
          <c:showPercent val="0"/>
          <c:showBubbleSize val="0"/>
        </c:dLbls>
        <c:gapWidth val="95"/>
        <c:overlap val="100"/>
        <c:axId val="169346176"/>
        <c:axId val="169347712"/>
      </c:barChart>
      <c:catAx>
        <c:axId val="169346176"/>
        <c:scaling>
          <c:orientation val="minMax"/>
        </c:scaling>
        <c:delete val="0"/>
        <c:axPos val="b"/>
        <c:numFmt formatCode="General" sourceLinked="1"/>
        <c:majorTickMark val="none"/>
        <c:minorTickMark val="none"/>
        <c:tickLblPos val="nextTo"/>
        <c:crossAx val="169347712"/>
        <c:crosses val="autoZero"/>
        <c:auto val="1"/>
        <c:lblAlgn val="ctr"/>
        <c:lblOffset val="100"/>
        <c:noMultiLvlLbl val="0"/>
      </c:catAx>
      <c:valAx>
        <c:axId val="169347712"/>
        <c:scaling>
          <c:orientation val="minMax"/>
        </c:scaling>
        <c:delete val="1"/>
        <c:axPos val="l"/>
        <c:numFmt formatCode="0%" sourceLinked="1"/>
        <c:majorTickMark val="none"/>
        <c:minorTickMark val="none"/>
        <c:tickLblPos val="nextTo"/>
        <c:crossAx val="16934617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sz="1200">
                <a:latin typeface="Arial" panose="020B0604020202020204" pitchFamily="34" charset="0"/>
                <a:cs typeface="Arial" panose="020B0604020202020204" pitchFamily="34" charset="0"/>
              </a:rPr>
              <a:t>Writing</a:t>
            </a:r>
          </a:p>
        </c:rich>
      </c:tx>
      <c:overlay val="0"/>
    </c:title>
    <c:autoTitleDeleted val="0"/>
    <c:plotArea>
      <c:layout/>
      <c:barChart>
        <c:barDir val="col"/>
        <c:grouping val="percentStacked"/>
        <c:varyColors val="0"/>
        <c:ser>
          <c:idx val="0"/>
          <c:order val="0"/>
          <c:tx>
            <c:strRef>
              <c:f>Sheet1!$B$1</c:f>
              <c:strCache>
                <c:ptCount val="1"/>
                <c:pt idx="0">
                  <c:v>Outstanding</c:v>
                </c:pt>
              </c:strCache>
            </c:strRef>
          </c:tx>
          <c:spPr>
            <a:solidFill>
              <a:srgbClr val="00B050"/>
            </a:solidFill>
          </c:spPr>
          <c:invertIfNegative val="0"/>
          <c:dPt>
            <c:idx val="0"/>
            <c:invertIfNegative val="0"/>
            <c:bubble3D val="0"/>
            <c:spPr>
              <a:solidFill>
                <a:srgbClr val="00B050"/>
              </a:solidFill>
              <a:ln>
                <a:solidFill>
                  <a:srgbClr val="00B050"/>
                </a:solidFill>
              </a:ln>
            </c:spPr>
          </c:dPt>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48</c:v>
                </c:pt>
                <c:pt idx="1">
                  <c:v>53</c:v>
                </c:pt>
                <c:pt idx="2">
                  <c:v>54</c:v>
                </c:pt>
                <c:pt idx="3">
                  <c:v>64</c:v>
                </c:pt>
              </c:numCache>
            </c:numRef>
          </c:val>
        </c:ser>
        <c:ser>
          <c:idx val="1"/>
          <c:order val="1"/>
          <c:tx>
            <c:strRef>
              <c:f>Sheet1!$C$1</c:f>
              <c:strCache>
                <c:ptCount val="1"/>
                <c:pt idx="0">
                  <c:v>Good</c:v>
                </c:pt>
              </c:strCache>
            </c:strRef>
          </c:tx>
          <c:spPr>
            <a:solidFill>
              <a:srgbClr val="FFC000"/>
            </a:solidFill>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13</c:v>
                </c:pt>
                <c:pt idx="1">
                  <c:v>9</c:v>
                </c:pt>
                <c:pt idx="2">
                  <c:v>9</c:v>
                </c:pt>
                <c:pt idx="3">
                  <c:v>14</c:v>
                </c:pt>
              </c:numCache>
            </c:numRef>
          </c:val>
        </c:ser>
        <c:ser>
          <c:idx val="2"/>
          <c:order val="2"/>
          <c:tx>
            <c:strRef>
              <c:f>Sheet1!$D$1</c:f>
              <c:strCache>
                <c:ptCount val="1"/>
                <c:pt idx="0">
                  <c:v>Requires Improvement</c:v>
                </c:pt>
              </c:strCache>
            </c:strRef>
          </c:tx>
          <c:spPr>
            <a:solidFill>
              <a:srgbClr val="FF0000"/>
            </a:solidFill>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39</c:v>
                </c:pt>
                <c:pt idx="1">
                  <c:v>38</c:v>
                </c:pt>
                <c:pt idx="2">
                  <c:v>37</c:v>
                </c:pt>
                <c:pt idx="3">
                  <c:v>22</c:v>
                </c:pt>
              </c:numCache>
            </c:numRef>
          </c:val>
        </c:ser>
        <c:dLbls>
          <c:showLegendKey val="0"/>
          <c:showVal val="1"/>
          <c:showCatName val="0"/>
          <c:showSerName val="0"/>
          <c:showPercent val="0"/>
          <c:showBubbleSize val="0"/>
        </c:dLbls>
        <c:gapWidth val="95"/>
        <c:overlap val="100"/>
        <c:axId val="169384192"/>
        <c:axId val="169394176"/>
      </c:barChart>
      <c:catAx>
        <c:axId val="169384192"/>
        <c:scaling>
          <c:orientation val="minMax"/>
        </c:scaling>
        <c:delete val="0"/>
        <c:axPos val="b"/>
        <c:numFmt formatCode="General" sourceLinked="1"/>
        <c:majorTickMark val="none"/>
        <c:minorTickMark val="none"/>
        <c:tickLblPos val="nextTo"/>
        <c:crossAx val="169394176"/>
        <c:crosses val="autoZero"/>
        <c:auto val="1"/>
        <c:lblAlgn val="ctr"/>
        <c:lblOffset val="100"/>
        <c:noMultiLvlLbl val="0"/>
      </c:catAx>
      <c:valAx>
        <c:axId val="169394176"/>
        <c:scaling>
          <c:orientation val="minMax"/>
        </c:scaling>
        <c:delete val="1"/>
        <c:axPos val="l"/>
        <c:numFmt formatCode="0%" sourceLinked="1"/>
        <c:majorTickMark val="none"/>
        <c:minorTickMark val="none"/>
        <c:tickLblPos val="nextTo"/>
        <c:crossAx val="16938419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sz="1200">
                <a:latin typeface="Arial" panose="020B0604020202020204" pitchFamily="34" charset="0"/>
                <a:cs typeface="Arial" panose="020B0604020202020204" pitchFamily="34" charset="0"/>
              </a:rPr>
              <a:t>Speaking</a:t>
            </a:r>
          </a:p>
        </c:rich>
      </c:tx>
      <c:overlay val="0"/>
    </c:title>
    <c:autoTitleDeleted val="0"/>
    <c:plotArea>
      <c:layout/>
      <c:barChart>
        <c:barDir val="col"/>
        <c:grouping val="percentStacked"/>
        <c:varyColors val="0"/>
        <c:ser>
          <c:idx val="0"/>
          <c:order val="0"/>
          <c:tx>
            <c:strRef>
              <c:f>Sheet1!$B$1</c:f>
              <c:strCache>
                <c:ptCount val="1"/>
                <c:pt idx="0">
                  <c:v>Outstanding</c:v>
                </c:pt>
              </c:strCache>
            </c:strRef>
          </c:tx>
          <c:spPr>
            <a:solidFill>
              <a:srgbClr val="00B050"/>
            </a:solidFill>
          </c:spPr>
          <c:invertIfNegative val="0"/>
          <c:dPt>
            <c:idx val="0"/>
            <c:invertIfNegative val="0"/>
            <c:bubble3D val="0"/>
            <c:spPr>
              <a:solidFill>
                <a:srgbClr val="00B050"/>
              </a:solidFill>
              <a:ln>
                <a:solidFill>
                  <a:srgbClr val="00B050"/>
                </a:solidFill>
              </a:ln>
            </c:spPr>
          </c:dPt>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30</c:v>
                </c:pt>
                <c:pt idx="1">
                  <c:v>56</c:v>
                </c:pt>
                <c:pt idx="2">
                  <c:v>60</c:v>
                </c:pt>
                <c:pt idx="3">
                  <c:v>70</c:v>
                </c:pt>
              </c:numCache>
            </c:numRef>
          </c:val>
        </c:ser>
        <c:ser>
          <c:idx val="1"/>
          <c:order val="1"/>
          <c:tx>
            <c:strRef>
              <c:f>Sheet1!$C$1</c:f>
              <c:strCache>
                <c:ptCount val="1"/>
                <c:pt idx="0">
                  <c:v>Good</c:v>
                </c:pt>
              </c:strCache>
            </c:strRef>
          </c:tx>
          <c:spPr>
            <a:solidFill>
              <a:srgbClr val="FFC000"/>
            </a:solidFill>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27</c:v>
                </c:pt>
                <c:pt idx="1">
                  <c:v>12</c:v>
                </c:pt>
                <c:pt idx="2">
                  <c:v>16</c:v>
                </c:pt>
                <c:pt idx="3">
                  <c:v>10</c:v>
                </c:pt>
              </c:numCache>
            </c:numRef>
          </c:val>
        </c:ser>
        <c:ser>
          <c:idx val="2"/>
          <c:order val="2"/>
          <c:tx>
            <c:strRef>
              <c:f>Sheet1!$D$1</c:f>
              <c:strCache>
                <c:ptCount val="1"/>
                <c:pt idx="0">
                  <c:v>Requires Improvement</c:v>
                </c:pt>
              </c:strCache>
            </c:strRef>
          </c:tx>
          <c:spPr>
            <a:solidFill>
              <a:srgbClr val="FF0000"/>
            </a:solidFill>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43</c:v>
                </c:pt>
                <c:pt idx="1">
                  <c:v>32</c:v>
                </c:pt>
                <c:pt idx="2">
                  <c:v>24</c:v>
                </c:pt>
                <c:pt idx="3">
                  <c:v>20</c:v>
                </c:pt>
              </c:numCache>
            </c:numRef>
          </c:val>
        </c:ser>
        <c:dLbls>
          <c:showLegendKey val="0"/>
          <c:showVal val="1"/>
          <c:showCatName val="0"/>
          <c:showSerName val="0"/>
          <c:showPercent val="0"/>
          <c:showBubbleSize val="0"/>
        </c:dLbls>
        <c:gapWidth val="95"/>
        <c:overlap val="100"/>
        <c:axId val="180723072"/>
        <c:axId val="180724864"/>
      </c:barChart>
      <c:catAx>
        <c:axId val="180723072"/>
        <c:scaling>
          <c:orientation val="minMax"/>
        </c:scaling>
        <c:delete val="0"/>
        <c:axPos val="b"/>
        <c:numFmt formatCode="General" sourceLinked="1"/>
        <c:majorTickMark val="none"/>
        <c:minorTickMark val="none"/>
        <c:tickLblPos val="nextTo"/>
        <c:crossAx val="180724864"/>
        <c:crosses val="autoZero"/>
        <c:auto val="1"/>
        <c:lblAlgn val="ctr"/>
        <c:lblOffset val="100"/>
        <c:noMultiLvlLbl val="0"/>
      </c:catAx>
      <c:valAx>
        <c:axId val="180724864"/>
        <c:scaling>
          <c:orientation val="minMax"/>
        </c:scaling>
        <c:delete val="1"/>
        <c:axPos val="l"/>
        <c:numFmt formatCode="0%" sourceLinked="1"/>
        <c:majorTickMark val="none"/>
        <c:minorTickMark val="none"/>
        <c:tickLblPos val="nextTo"/>
        <c:crossAx val="180723072"/>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sz="1200">
                <a:latin typeface="Arial" panose="020B0604020202020204" pitchFamily="34" charset="0"/>
                <a:cs typeface="Arial" panose="020B0604020202020204" pitchFamily="34" charset="0"/>
              </a:rPr>
              <a:t>Listening</a:t>
            </a:r>
          </a:p>
        </c:rich>
      </c:tx>
      <c:overlay val="0"/>
    </c:title>
    <c:autoTitleDeleted val="0"/>
    <c:plotArea>
      <c:layout/>
      <c:barChart>
        <c:barDir val="col"/>
        <c:grouping val="percentStacked"/>
        <c:varyColors val="0"/>
        <c:ser>
          <c:idx val="0"/>
          <c:order val="0"/>
          <c:tx>
            <c:strRef>
              <c:f>Sheet1!$B$1</c:f>
              <c:strCache>
                <c:ptCount val="1"/>
                <c:pt idx="0">
                  <c:v>Outstanding</c:v>
                </c:pt>
              </c:strCache>
            </c:strRef>
          </c:tx>
          <c:spPr>
            <a:solidFill>
              <a:srgbClr val="00B050"/>
            </a:solidFill>
          </c:spPr>
          <c:invertIfNegative val="0"/>
          <c:dPt>
            <c:idx val="0"/>
            <c:invertIfNegative val="0"/>
            <c:bubble3D val="0"/>
            <c:spPr>
              <a:solidFill>
                <a:srgbClr val="00B050"/>
              </a:solidFill>
              <a:ln>
                <a:solidFill>
                  <a:srgbClr val="00B050"/>
                </a:solidFill>
              </a:ln>
            </c:spPr>
          </c:dPt>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37</c:v>
                </c:pt>
                <c:pt idx="1">
                  <c:v>48</c:v>
                </c:pt>
                <c:pt idx="2">
                  <c:v>58</c:v>
                </c:pt>
                <c:pt idx="3">
                  <c:v>63</c:v>
                </c:pt>
              </c:numCache>
            </c:numRef>
          </c:val>
        </c:ser>
        <c:ser>
          <c:idx val="1"/>
          <c:order val="1"/>
          <c:tx>
            <c:strRef>
              <c:f>Sheet1!$C$1</c:f>
              <c:strCache>
                <c:ptCount val="1"/>
                <c:pt idx="0">
                  <c:v>Good</c:v>
                </c:pt>
              </c:strCache>
            </c:strRef>
          </c:tx>
          <c:spPr>
            <a:solidFill>
              <a:srgbClr val="FFC000"/>
            </a:solidFill>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17</c:v>
                </c:pt>
                <c:pt idx="1">
                  <c:v>16</c:v>
                </c:pt>
                <c:pt idx="2">
                  <c:v>15</c:v>
                </c:pt>
                <c:pt idx="3">
                  <c:v>21</c:v>
                </c:pt>
              </c:numCache>
            </c:numRef>
          </c:val>
        </c:ser>
        <c:ser>
          <c:idx val="2"/>
          <c:order val="2"/>
          <c:tx>
            <c:strRef>
              <c:f>Sheet1!$D$1</c:f>
              <c:strCache>
                <c:ptCount val="1"/>
                <c:pt idx="0">
                  <c:v>Requires Improvement</c:v>
                </c:pt>
              </c:strCache>
            </c:strRef>
          </c:tx>
          <c:spPr>
            <a:solidFill>
              <a:srgbClr val="FF0000"/>
            </a:solidFill>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46</c:v>
                </c:pt>
                <c:pt idx="1">
                  <c:v>36</c:v>
                </c:pt>
                <c:pt idx="2">
                  <c:v>27</c:v>
                </c:pt>
                <c:pt idx="3">
                  <c:v>16</c:v>
                </c:pt>
              </c:numCache>
            </c:numRef>
          </c:val>
        </c:ser>
        <c:dLbls>
          <c:showLegendKey val="0"/>
          <c:showVal val="1"/>
          <c:showCatName val="0"/>
          <c:showSerName val="0"/>
          <c:showPercent val="0"/>
          <c:showBubbleSize val="0"/>
        </c:dLbls>
        <c:gapWidth val="95"/>
        <c:overlap val="100"/>
        <c:axId val="184234752"/>
        <c:axId val="184236288"/>
      </c:barChart>
      <c:catAx>
        <c:axId val="184234752"/>
        <c:scaling>
          <c:orientation val="minMax"/>
        </c:scaling>
        <c:delete val="0"/>
        <c:axPos val="b"/>
        <c:numFmt formatCode="General" sourceLinked="1"/>
        <c:majorTickMark val="none"/>
        <c:minorTickMark val="none"/>
        <c:tickLblPos val="nextTo"/>
        <c:crossAx val="184236288"/>
        <c:crosses val="autoZero"/>
        <c:auto val="1"/>
        <c:lblAlgn val="ctr"/>
        <c:lblOffset val="100"/>
        <c:noMultiLvlLbl val="0"/>
      </c:catAx>
      <c:valAx>
        <c:axId val="184236288"/>
        <c:scaling>
          <c:orientation val="minMax"/>
        </c:scaling>
        <c:delete val="1"/>
        <c:axPos val="l"/>
        <c:numFmt formatCode="0%" sourceLinked="1"/>
        <c:majorTickMark val="none"/>
        <c:minorTickMark val="none"/>
        <c:tickLblPos val="nextTo"/>
        <c:crossAx val="184234752"/>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sz="1200">
                <a:latin typeface="Arial" panose="020B0604020202020204" pitchFamily="34" charset="0"/>
                <a:cs typeface="Arial" panose="020B0604020202020204" pitchFamily="34" charset="0"/>
              </a:rPr>
              <a:t>Number</a:t>
            </a:r>
          </a:p>
        </c:rich>
      </c:tx>
      <c:overlay val="0"/>
    </c:title>
    <c:autoTitleDeleted val="0"/>
    <c:plotArea>
      <c:layout/>
      <c:barChart>
        <c:barDir val="col"/>
        <c:grouping val="percentStacked"/>
        <c:varyColors val="0"/>
        <c:ser>
          <c:idx val="0"/>
          <c:order val="0"/>
          <c:tx>
            <c:strRef>
              <c:f>Sheet1!$B$1</c:f>
              <c:strCache>
                <c:ptCount val="1"/>
                <c:pt idx="0">
                  <c:v>Outstanding</c:v>
                </c:pt>
              </c:strCache>
            </c:strRef>
          </c:tx>
          <c:spPr>
            <a:solidFill>
              <a:srgbClr val="00B050"/>
            </a:solidFill>
          </c:spPr>
          <c:invertIfNegative val="0"/>
          <c:dPt>
            <c:idx val="0"/>
            <c:invertIfNegative val="0"/>
            <c:bubble3D val="0"/>
            <c:spPr>
              <a:solidFill>
                <a:srgbClr val="00B050"/>
              </a:solidFill>
              <a:ln>
                <a:solidFill>
                  <a:srgbClr val="00B050"/>
                </a:solidFill>
              </a:ln>
            </c:spPr>
          </c:dPt>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32</c:v>
                </c:pt>
                <c:pt idx="1">
                  <c:v>50</c:v>
                </c:pt>
                <c:pt idx="2">
                  <c:v>51</c:v>
                </c:pt>
                <c:pt idx="3">
                  <c:v>59</c:v>
                </c:pt>
              </c:numCache>
            </c:numRef>
          </c:val>
        </c:ser>
        <c:ser>
          <c:idx val="1"/>
          <c:order val="1"/>
          <c:tx>
            <c:strRef>
              <c:f>Sheet1!$C$1</c:f>
              <c:strCache>
                <c:ptCount val="1"/>
                <c:pt idx="0">
                  <c:v>Good</c:v>
                </c:pt>
              </c:strCache>
            </c:strRef>
          </c:tx>
          <c:spPr>
            <a:solidFill>
              <a:srgbClr val="FFC000"/>
            </a:solidFill>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24</c:v>
                </c:pt>
                <c:pt idx="1">
                  <c:v>20</c:v>
                </c:pt>
                <c:pt idx="2">
                  <c:v>25</c:v>
                </c:pt>
                <c:pt idx="3">
                  <c:v>25</c:v>
                </c:pt>
              </c:numCache>
            </c:numRef>
          </c:val>
        </c:ser>
        <c:ser>
          <c:idx val="2"/>
          <c:order val="2"/>
          <c:tx>
            <c:strRef>
              <c:f>Sheet1!$D$1</c:f>
              <c:strCache>
                <c:ptCount val="1"/>
                <c:pt idx="0">
                  <c:v>Requires Improvement</c:v>
                </c:pt>
              </c:strCache>
            </c:strRef>
          </c:tx>
          <c:spPr>
            <a:solidFill>
              <a:srgbClr val="FF0000"/>
            </a:solidFill>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44</c:v>
                </c:pt>
                <c:pt idx="1">
                  <c:v>30</c:v>
                </c:pt>
                <c:pt idx="2">
                  <c:v>24</c:v>
                </c:pt>
                <c:pt idx="3">
                  <c:v>16</c:v>
                </c:pt>
              </c:numCache>
            </c:numRef>
          </c:val>
        </c:ser>
        <c:dLbls>
          <c:showLegendKey val="0"/>
          <c:showVal val="1"/>
          <c:showCatName val="0"/>
          <c:showSerName val="0"/>
          <c:showPercent val="0"/>
          <c:showBubbleSize val="0"/>
        </c:dLbls>
        <c:gapWidth val="95"/>
        <c:overlap val="100"/>
        <c:axId val="184317824"/>
        <c:axId val="184319360"/>
      </c:barChart>
      <c:catAx>
        <c:axId val="184317824"/>
        <c:scaling>
          <c:orientation val="minMax"/>
        </c:scaling>
        <c:delete val="0"/>
        <c:axPos val="b"/>
        <c:numFmt formatCode="General" sourceLinked="1"/>
        <c:majorTickMark val="none"/>
        <c:minorTickMark val="none"/>
        <c:tickLblPos val="nextTo"/>
        <c:crossAx val="184319360"/>
        <c:crosses val="autoZero"/>
        <c:auto val="1"/>
        <c:lblAlgn val="ctr"/>
        <c:lblOffset val="100"/>
        <c:noMultiLvlLbl val="0"/>
      </c:catAx>
      <c:valAx>
        <c:axId val="184319360"/>
        <c:scaling>
          <c:orientation val="minMax"/>
        </c:scaling>
        <c:delete val="1"/>
        <c:axPos val="l"/>
        <c:numFmt formatCode="0%" sourceLinked="1"/>
        <c:majorTickMark val="none"/>
        <c:minorTickMark val="none"/>
        <c:tickLblPos val="nextTo"/>
        <c:crossAx val="184317824"/>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sz="1200">
                <a:latin typeface="Arial" panose="020B0604020202020204" pitchFamily="34" charset="0"/>
                <a:cs typeface="Arial" panose="020B0604020202020204" pitchFamily="34" charset="0"/>
              </a:rPr>
              <a:t>Using</a:t>
            </a:r>
            <a:r>
              <a:rPr lang="en-GB" sz="1200" baseline="0">
                <a:latin typeface="Arial" panose="020B0604020202020204" pitchFamily="34" charset="0"/>
                <a:cs typeface="Arial" panose="020B0604020202020204" pitchFamily="34" charset="0"/>
              </a:rPr>
              <a:t> and Applying</a:t>
            </a:r>
            <a:endParaRPr lang="en-GB" sz="1200">
              <a:latin typeface="Arial" panose="020B0604020202020204" pitchFamily="34" charset="0"/>
              <a:cs typeface="Arial" panose="020B0604020202020204" pitchFamily="34" charset="0"/>
            </a:endParaRPr>
          </a:p>
        </c:rich>
      </c:tx>
      <c:overlay val="0"/>
    </c:title>
    <c:autoTitleDeleted val="0"/>
    <c:plotArea>
      <c:layout/>
      <c:barChart>
        <c:barDir val="col"/>
        <c:grouping val="percentStacked"/>
        <c:varyColors val="0"/>
        <c:ser>
          <c:idx val="0"/>
          <c:order val="0"/>
          <c:tx>
            <c:strRef>
              <c:f>Sheet1!$B$1</c:f>
              <c:strCache>
                <c:ptCount val="1"/>
                <c:pt idx="0">
                  <c:v>Outstanding</c:v>
                </c:pt>
              </c:strCache>
            </c:strRef>
          </c:tx>
          <c:spPr>
            <a:solidFill>
              <a:srgbClr val="00B050"/>
            </a:solidFill>
          </c:spPr>
          <c:invertIfNegative val="0"/>
          <c:dPt>
            <c:idx val="0"/>
            <c:invertIfNegative val="0"/>
            <c:bubble3D val="0"/>
            <c:spPr>
              <a:solidFill>
                <a:srgbClr val="00B050"/>
              </a:solidFill>
              <a:ln>
                <a:solidFill>
                  <a:srgbClr val="00B050"/>
                </a:solidFill>
              </a:ln>
            </c:spPr>
          </c:dPt>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1">
                  <c:v>42</c:v>
                </c:pt>
                <c:pt idx="2">
                  <c:v>36</c:v>
                </c:pt>
                <c:pt idx="3">
                  <c:v>70</c:v>
                </c:pt>
              </c:numCache>
            </c:numRef>
          </c:val>
        </c:ser>
        <c:ser>
          <c:idx val="1"/>
          <c:order val="1"/>
          <c:tx>
            <c:strRef>
              <c:f>Sheet1!$C$1</c:f>
              <c:strCache>
                <c:ptCount val="1"/>
                <c:pt idx="0">
                  <c:v>Good</c:v>
                </c:pt>
              </c:strCache>
            </c:strRef>
          </c:tx>
          <c:spPr>
            <a:solidFill>
              <a:srgbClr val="FFC000"/>
            </a:solidFill>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1">
                  <c:v>22</c:v>
                </c:pt>
                <c:pt idx="2">
                  <c:v>18</c:v>
                </c:pt>
                <c:pt idx="3">
                  <c:v>11</c:v>
                </c:pt>
              </c:numCache>
            </c:numRef>
          </c:val>
        </c:ser>
        <c:ser>
          <c:idx val="2"/>
          <c:order val="2"/>
          <c:tx>
            <c:strRef>
              <c:f>Sheet1!$D$1</c:f>
              <c:strCache>
                <c:ptCount val="1"/>
                <c:pt idx="0">
                  <c:v>Requires Improvement</c:v>
                </c:pt>
              </c:strCache>
            </c:strRef>
          </c:tx>
          <c:spPr>
            <a:solidFill>
              <a:srgbClr val="FF0000"/>
            </a:solidFill>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1">
                  <c:v>36</c:v>
                </c:pt>
                <c:pt idx="2">
                  <c:v>46</c:v>
                </c:pt>
                <c:pt idx="3">
                  <c:v>19</c:v>
                </c:pt>
              </c:numCache>
            </c:numRef>
          </c:val>
        </c:ser>
        <c:dLbls>
          <c:showLegendKey val="0"/>
          <c:showVal val="1"/>
          <c:showCatName val="0"/>
          <c:showSerName val="0"/>
          <c:showPercent val="0"/>
          <c:showBubbleSize val="0"/>
        </c:dLbls>
        <c:gapWidth val="95"/>
        <c:overlap val="100"/>
        <c:axId val="184314880"/>
        <c:axId val="187843328"/>
      </c:barChart>
      <c:catAx>
        <c:axId val="184314880"/>
        <c:scaling>
          <c:orientation val="minMax"/>
        </c:scaling>
        <c:delete val="0"/>
        <c:axPos val="b"/>
        <c:numFmt formatCode="General" sourceLinked="1"/>
        <c:majorTickMark val="none"/>
        <c:minorTickMark val="none"/>
        <c:tickLblPos val="nextTo"/>
        <c:crossAx val="187843328"/>
        <c:crosses val="autoZero"/>
        <c:auto val="1"/>
        <c:lblAlgn val="ctr"/>
        <c:lblOffset val="100"/>
        <c:noMultiLvlLbl val="0"/>
      </c:catAx>
      <c:valAx>
        <c:axId val="187843328"/>
        <c:scaling>
          <c:orientation val="minMax"/>
        </c:scaling>
        <c:delete val="1"/>
        <c:axPos val="l"/>
        <c:numFmt formatCode="0%" sourceLinked="1"/>
        <c:majorTickMark val="none"/>
        <c:minorTickMark val="none"/>
        <c:tickLblPos val="nextTo"/>
        <c:crossAx val="184314880"/>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sz="1200">
                <a:latin typeface="Arial" panose="020B0604020202020204" pitchFamily="34" charset="0"/>
                <a:cs typeface="Arial" panose="020B0604020202020204" pitchFamily="34" charset="0"/>
              </a:rPr>
              <a:t>Shape,</a:t>
            </a:r>
            <a:r>
              <a:rPr lang="en-GB" sz="1200" baseline="0">
                <a:latin typeface="Arial" panose="020B0604020202020204" pitchFamily="34" charset="0"/>
                <a:cs typeface="Arial" panose="020B0604020202020204" pitchFamily="34" charset="0"/>
              </a:rPr>
              <a:t> Space and Measure</a:t>
            </a:r>
            <a:endParaRPr lang="en-GB" sz="1200">
              <a:latin typeface="Arial" panose="020B0604020202020204" pitchFamily="34" charset="0"/>
              <a:cs typeface="Arial" panose="020B0604020202020204" pitchFamily="34" charset="0"/>
            </a:endParaRPr>
          </a:p>
        </c:rich>
      </c:tx>
      <c:overlay val="0"/>
    </c:title>
    <c:autoTitleDeleted val="0"/>
    <c:plotArea>
      <c:layout/>
      <c:barChart>
        <c:barDir val="col"/>
        <c:grouping val="percentStacked"/>
        <c:varyColors val="0"/>
        <c:ser>
          <c:idx val="0"/>
          <c:order val="0"/>
          <c:tx>
            <c:strRef>
              <c:f>Sheet1!$B$1</c:f>
              <c:strCache>
                <c:ptCount val="1"/>
                <c:pt idx="0">
                  <c:v>Outstanding</c:v>
                </c:pt>
              </c:strCache>
            </c:strRef>
          </c:tx>
          <c:spPr>
            <a:solidFill>
              <a:srgbClr val="00B050"/>
            </a:solidFill>
          </c:spPr>
          <c:invertIfNegative val="0"/>
          <c:dPt>
            <c:idx val="0"/>
            <c:invertIfNegative val="0"/>
            <c:bubble3D val="0"/>
            <c:spPr>
              <a:solidFill>
                <a:srgbClr val="00B050"/>
              </a:solidFill>
              <a:ln>
                <a:solidFill>
                  <a:srgbClr val="00B050"/>
                </a:solidFill>
              </a:ln>
            </c:spPr>
          </c:dPt>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31</c:v>
                </c:pt>
                <c:pt idx="1">
                  <c:v>47</c:v>
                </c:pt>
                <c:pt idx="2">
                  <c:v>58</c:v>
                </c:pt>
                <c:pt idx="3">
                  <c:v>58</c:v>
                </c:pt>
              </c:numCache>
            </c:numRef>
          </c:val>
        </c:ser>
        <c:ser>
          <c:idx val="1"/>
          <c:order val="1"/>
          <c:tx>
            <c:strRef>
              <c:f>Sheet1!$C$1</c:f>
              <c:strCache>
                <c:ptCount val="1"/>
                <c:pt idx="0">
                  <c:v>Good</c:v>
                </c:pt>
              </c:strCache>
            </c:strRef>
          </c:tx>
          <c:spPr>
            <a:solidFill>
              <a:srgbClr val="FFC000"/>
            </a:solidFill>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15</c:v>
                </c:pt>
                <c:pt idx="1">
                  <c:v>19</c:v>
                </c:pt>
                <c:pt idx="2">
                  <c:v>16</c:v>
                </c:pt>
                <c:pt idx="3">
                  <c:v>17</c:v>
                </c:pt>
              </c:numCache>
            </c:numRef>
          </c:val>
        </c:ser>
        <c:ser>
          <c:idx val="2"/>
          <c:order val="2"/>
          <c:tx>
            <c:strRef>
              <c:f>Sheet1!$D$1</c:f>
              <c:strCache>
                <c:ptCount val="1"/>
                <c:pt idx="0">
                  <c:v>Requires Improvement</c:v>
                </c:pt>
              </c:strCache>
            </c:strRef>
          </c:tx>
          <c:spPr>
            <a:solidFill>
              <a:srgbClr val="FF0000"/>
            </a:solidFill>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54</c:v>
                </c:pt>
                <c:pt idx="1">
                  <c:v>34</c:v>
                </c:pt>
                <c:pt idx="2">
                  <c:v>25</c:v>
                </c:pt>
                <c:pt idx="3">
                  <c:v>25</c:v>
                </c:pt>
              </c:numCache>
            </c:numRef>
          </c:val>
        </c:ser>
        <c:dLbls>
          <c:showLegendKey val="0"/>
          <c:showVal val="1"/>
          <c:showCatName val="0"/>
          <c:showSerName val="0"/>
          <c:showPercent val="0"/>
          <c:showBubbleSize val="0"/>
        </c:dLbls>
        <c:gapWidth val="95"/>
        <c:overlap val="100"/>
        <c:axId val="192815488"/>
        <c:axId val="192817024"/>
      </c:barChart>
      <c:catAx>
        <c:axId val="192815488"/>
        <c:scaling>
          <c:orientation val="minMax"/>
        </c:scaling>
        <c:delete val="0"/>
        <c:axPos val="b"/>
        <c:numFmt formatCode="General" sourceLinked="1"/>
        <c:majorTickMark val="none"/>
        <c:minorTickMark val="none"/>
        <c:tickLblPos val="nextTo"/>
        <c:crossAx val="192817024"/>
        <c:crosses val="autoZero"/>
        <c:auto val="1"/>
        <c:lblAlgn val="ctr"/>
        <c:lblOffset val="100"/>
        <c:noMultiLvlLbl val="0"/>
      </c:catAx>
      <c:valAx>
        <c:axId val="192817024"/>
        <c:scaling>
          <c:orientation val="minMax"/>
        </c:scaling>
        <c:delete val="1"/>
        <c:axPos val="l"/>
        <c:numFmt formatCode="0%" sourceLinked="1"/>
        <c:majorTickMark val="none"/>
        <c:minorTickMark val="none"/>
        <c:tickLblPos val="nextTo"/>
        <c:crossAx val="19281548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a.sutherland</dc:creator>
  <cp:lastModifiedBy>a.sutherland</cp:lastModifiedBy>
  <cp:revision>2</cp:revision>
  <dcterms:created xsi:type="dcterms:W3CDTF">2014-11-03T20:36:00Z</dcterms:created>
  <dcterms:modified xsi:type="dcterms:W3CDTF">2014-11-03T21:34:00Z</dcterms:modified>
</cp:coreProperties>
</file>