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89" w:rsidRDefault="003C5989" w:rsidP="003C5989">
      <w:pPr>
        <w:autoSpaceDE w:val="0"/>
        <w:autoSpaceDN w:val="0"/>
        <w:adjustRightInd w:val="0"/>
        <w:rPr>
          <w:rFonts w:ascii="Arial-BoldMT" w:hAnsi="Arial-BoldMT" w:cs="Arial-BoldMT"/>
          <w:b/>
          <w:bCs/>
          <w:color w:val="000000"/>
        </w:rPr>
      </w:pPr>
      <w:r>
        <w:rPr>
          <w:rFonts w:ascii="Arial-BoldMT" w:hAnsi="Arial-BoldMT" w:cs="Arial-BoldMT"/>
          <w:b/>
          <w:bCs/>
          <w:color w:val="000000"/>
        </w:rPr>
        <w:t>Appendix 1</w:t>
      </w:r>
      <w:r w:rsidR="003F0AFD">
        <w:rPr>
          <w:rFonts w:ascii="Arial-BoldMT" w:hAnsi="Arial-BoldMT" w:cs="Arial-BoldMT"/>
          <w:b/>
          <w:bCs/>
          <w:color w:val="000000"/>
        </w:rPr>
        <w:t xml:space="preserve"> </w:t>
      </w:r>
      <w:r w:rsidR="00B80F35">
        <w:rPr>
          <w:rFonts w:ascii="Arial-BoldMT" w:hAnsi="Arial-BoldMT" w:cs="Arial-BoldMT"/>
          <w:b/>
          <w:bCs/>
          <w:color w:val="000000"/>
        </w:rPr>
        <w:t>–</w:t>
      </w:r>
      <w:r w:rsidR="003F0AFD">
        <w:rPr>
          <w:rFonts w:ascii="Arial-BoldMT" w:hAnsi="Arial-BoldMT" w:cs="Arial-BoldMT"/>
          <w:b/>
          <w:bCs/>
          <w:color w:val="000000"/>
        </w:rPr>
        <w:t xml:space="preserve"> </w:t>
      </w:r>
      <w:r w:rsidR="00B80F35">
        <w:rPr>
          <w:rFonts w:ascii="Arial-BoldMT" w:hAnsi="Arial-BoldMT" w:cs="Arial-BoldMT"/>
          <w:b/>
          <w:bCs/>
          <w:color w:val="000000"/>
        </w:rPr>
        <w:t xml:space="preserve">Procedure for Access to </w:t>
      </w:r>
      <w:r w:rsidR="00012F14">
        <w:rPr>
          <w:rFonts w:ascii="Arial-BoldMT" w:hAnsi="Arial-BoldMT" w:cs="Arial-BoldMT"/>
          <w:b/>
          <w:bCs/>
          <w:color w:val="000000"/>
        </w:rPr>
        <w:t>Personal Information</w:t>
      </w:r>
    </w:p>
    <w:p w:rsidR="003C5989" w:rsidRDefault="003C5989" w:rsidP="003C5989">
      <w:pPr>
        <w:autoSpaceDE w:val="0"/>
        <w:autoSpaceDN w:val="0"/>
        <w:adjustRightInd w:val="0"/>
        <w:rPr>
          <w:rFonts w:ascii="Arial-BoldMT" w:hAnsi="Arial-BoldMT" w:cs="Arial-BoldMT"/>
          <w:b/>
          <w:bCs/>
          <w:color w:val="000000"/>
        </w:rPr>
      </w:pPr>
    </w:p>
    <w:p w:rsidR="003C5989" w:rsidRPr="0017087E" w:rsidRDefault="00EB0F86" w:rsidP="00DB12D4">
      <w:pPr>
        <w:autoSpaceDE w:val="0"/>
        <w:autoSpaceDN w:val="0"/>
        <w:adjustRightInd w:val="0"/>
        <w:jc w:val="center"/>
        <w:rPr>
          <w:rFonts w:ascii="ArialMT" w:hAnsi="ArialMT" w:cs="ArialMT"/>
          <w:b/>
        </w:rPr>
      </w:pPr>
      <w:r w:rsidRPr="0017087E">
        <w:rPr>
          <w:rFonts w:ascii="ArialMT" w:hAnsi="ArialMT" w:cs="ArialMT"/>
          <w:b/>
        </w:rPr>
        <w:t>St Luke’s Primary School</w:t>
      </w:r>
    </w:p>
    <w:p w:rsidR="003C5989" w:rsidRDefault="003C5989" w:rsidP="003C5989">
      <w:pPr>
        <w:autoSpaceDE w:val="0"/>
        <w:autoSpaceDN w:val="0"/>
        <w:adjustRightInd w:val="0"/>
        <w:rPr>
          <w:rFonts w:ascii="Arial-BoldMT" w:hAnsi="Arial-BoldMT" w:cs="Arial-BoldMT"/>
          <w:b/>
          <w:bCs/>
          <w:color w:val="000000"/>
        </w:rPr>
      </w:pPr>
    </w:p>
    <w:p w:rsidR="003C5989" w:rsidRDefault="003C5989" w:rsidP="00033BB0">
      <w:pPr>
        <w:numPr>
          <w:ilvl w:val="0"/>
          <w:numId w:val="4"/>
        </w:numPr>
        <w:autoSpaceDE w:val="0"/>
        <w:autoSpaceDN w:val="0"/>
        <w:adjustRightInd w:val="0"/>
        <w:rPr>
          <w:rFonts w:ascii="Arial-BoldMT" w:hAnsi="Arial-BoldMT" w:cs="Arial-BoldMT"/>
          <w:b/>
          <w:bCs/>
          <w:color w:val="000000"/>
        </w:rPr>
      </w:pPr>
      <w:r>
        <w:rPr>
          <w:rFonts w:ascii="Arial-BoldMT" w:hAnsi="Arial-BoldMT" w:cs="Arial-BoldMT"/>
          <w:b/>
          <w:bCs/>
          <w:color w:val="000000"/>
        </w:rPr>
        <w:t>Right of access to information</w:t>
      </w:r>
    </w:p>
    <w:p w:rsidR="003C5989" w:rsidRDefault="003C5989" w:rsidP="003C5989">
      <w:pPr>
        <w:autoSpaceDE w:val="0"/>
        <w:autoSpaceDN w:val="0"/>
        <w:adjustRightInd w:val="0"/>
        <w:rPr>
          <w:rFonts w:ascii="ArialMT" w:hAnsi="ArialMT" w:cs="ArialMT"/>
          <w:color w:val="000000"/>
        </w:rPr>
      </w:pPr>
      <w:r>
        <w:rPr>
          <w:rFonts w:ascii="ArialMT" w:hAnsi="ArialMT" w:cs="ArialMT"/>
          <w:color w:val="000000"/>
        </w:rPr>
        <w:t xml:space="preserve">There are two distinct rights of access to </w:t>
      </w:r>
      <w:r w:rsidR="00C240F7">
        <w:rPr>
          <w:rFonts w:ascii="ArialMT" w:hAnsi="ArialMT" w:cs="ArialMT"/>
          <w:color w:val="000000"/>
        </w:rPr>
        <w:t xml:space="preserve">personal </w:t>
      </w:r>
      <w:r>
        <w:rPr>
          <w:rFonts w:ascii="ArialMT" w:hAnsi="ArialMT" w:cs="ArialMT"/>
          <w:color w:val="000000"/>
        </w:rPr>
        <w:t>information held by schools.</w:t>
      </w:r>
    </w:p>
    <w:p w:rsidR="0001423B" w:rsidRDefault="0001423B" w:rsidP="003C5989">
      <w:pPr>
        <w:autoSpaceDE w:val="0"/>
        <w:autoSpaceDN w:val="0"/>
        <w:adjustRightInd w:val="0"/>
        <w:rPr>
          <w:rFonts w:ascii="ArialMT" w:hAnsi="ArialMT" w:cs="ArialMT"/>
          <w:color w:val="000000"/>
        </w:rPr>
      </w:pPr>
    </w:p>
    <w:p w:rsidR="003C5989" w:rsidRDefault="003C5989" w:rsidP="00033BB0">
      <w:pPr>
        <w:autoSpaceDE w:val="0"/>
        <w:autoSpaceDN w:val="0"/>
        <w:adjustRightInd w:val="0"/>
        <w:ind w:left="720"/>
        <w:rPr>
          <w:rFonts w:ascii="ArialMT" w:hAnsi="ArialMT" w:cs="ArialMT"/>
          <w:color w:val="000000"/>
        </w:rPr>
      </w:pPr>
      <w:r w:rsidRPr="00033BB0">
        <w:rPr>
          <w:rFonts w:ascii="ArialMT" w:hAnsi="ArialMT" w:cs="ArialMT"/>
          <w:b/>
          <w:color w:val="000000"/>
        </w:rPr>
        <w:t xml:space="preserve">Under the </w:t>
      </w:r>
      <w:r w:rsidR="003F42EE" w:rsidRPr="00033BB0">
        <w:rPr>
          <w:rFonts w:ascii="ArialMT" w:hAnsi="ArialMT" w:cs="ArialMT"/>
          <w:b/>
          <w:color w:val="000000"/>
        </w:rPr>
        <w:t>GDPR</w:t>
      </w:r>
      <w:r w:rsidR="006E2553" w:rsidRPr="00033BB0">
        <w:rPr>
          <w:rFonts w:ascii="ArialMT" w:hAnsi="ArialMT" w:cs="ArialMT"/>
          <w:b/>
          <w:color w:val="000000"/>
        </w:rPr>
        <w:t xml:space="preserve"> and the Data Protection Act 2018</w:t>
      </w:r>
      <w:r>
        <w:rPr>
          <w:rFonts w:ascii="ArialMT" w:hAnsi="ArialMT" w:cs="ArialMT"/>
          <w:color w:val="000000"/>
        </w:rPr>
        <w:t xml:space="preserve"> </w:t>
      </w:r>
      <w:r w:rsidR="0001423B">
        <w:rPr>
          <w:rFonts w:ascii="ArialMT" w:hAnsi="ArialMT" w:cs="ArialMT"/>
          <w:color w:val="000000"/>
        </w:rPr>
        <w:t>a</w:t>
      </w:r>
      <w:r w:rsidR="00033BB0">
        <w:rPr>
          <w:rFonts w:ascii="ArialMT" w:hAnsi="ArialMT" w:cs="ArialMT"/>
          <w:color w:val="000000"/>
        </w:rPr>
        <w:t>n individual (</w:t>
      </w:r>
      <w:r w:rsidR="00C240F7">
        <w:rPr>
          <w:rFonts w:ascii="ArialMT" w:hAnsi="ArialMT" w:cs="ArialMT"/>
          <w:color w:val="000000"/>
        </w:rPr>
        <w:t xml:space="preserve">e.g. </w:t>
      </w:r>
      <w:r w:rsidR="00033BB0">
        <w:rPr>
          <w:rFonts w:ascii="ArialMT" w:hAnsi="ArialMT" w:cs="ArialMT"/>
          <w:color w:val="000000"/>
        </w:rPr>
        <w:t xml:space="preserve">pupil, parent or member of staff) </w:t>
      </w:r>
      <w:r>
        <w:rPr>
          <w:rFonts w:ascii="ArialMT" w:hAnsi="ArialMT" w:cs="ArialMT"/>
          <w:color w:val="000000"/>
        </w:rPr>
        <w:t xml:space="preserve">has </w:t>
      </w:r>
      <w:r w:rsidR="0001423B">
        <w:rPr>
          <w:rFonts w:ascii="ArialMT" w:hAnsi="ArialMT" w:cs="ArialMT"/>
          <w:color w:val="000000"/>
        </w:rPr>
        <w:t>a</w:t>
      </w:r>
      <w:r>
        <w:rPr>
          <w:rFonts w:ascii="ArialMT" w:hAnsi="ArialMT" w:cs="ArialMT"/>
          <w:color w:val="000000"/>
        </w:rPr>
        <w:t xml:space="preserve"> right to request access </w:t>
      </w:r>
      <w:r w:rsidR="0001423B">
        <w:rPr>
          <w:rFonts w:ascii="ArialMT" w:hAnsi="ArialMT" w:cs="ArialMT"/>
          <w:color w:val="000000"/>
        </w:rPr>
        <w:t xml:space="preserve">to </w:t>
      </w:r>
      <w:r>
        <w:rPr>
          <w:rFonts w:ascii="ArialMT" w:hAnsi="ArialMT" w:cs="ArialMT"/>
          <w:color w:val="000000"/>
        </w:rPr>
        <w:t>the</w:t>
      </w:r>
      <w:r w:rsidR="0001423B">
        <w:rPr>
          <w:rFonts w:ascii="ArialMT" w:hAnsi="ArialMT" w:cs="ArialMT"/>
          <w:color w:val="000000"/>
        </w:rPr>
        <w:t>ir own personal information</w:t>
      </w:r>
      <w:r>
        <w:rPr>
          <w:rFonts w:ascii="ArialMT" w:hAnsi="ArialMT" w:cs="ArialMT"/>
          <w:color w:val="000000"/>
        </w:rPr>
        <w:t>.</w:t>
      </w:r>
      <w:r w:rsidR="0001423B">
        <w:rPr>
          <w:rFonts w:ascii="ArialMT" w:hAnsi="ArialMT" w:cs="ArialMT"/>
          <w:color w:val="000000"/>
        </w:rPr>
        <w:t xml:space="preserve">  In certain circumstances requests may be made by a parent on behalf of their child (see </w:t>
      </w:r>
      <w:r w:rsidR="00A71A95">
        <w:rPr>
          <w:rFonts w:ascii="ArialMT" w:hAnsi="ArialMT" w:cs="ArialMT"/>
          <w:color w:val="000000"/>
        </w:rPr>
        <w:t xml:space="preserve">explanation </w:t>
      </w:r>
      <w:r w:rsidR="0001423B">
        <w:rPr>
          <w:rFonts w:ascii="ArialMT" w:hAnsi="ArialMT" w:cs="ArialMT"/>
          <w:color w:val="000000"/>
        </w:rPr>
        <w:t>below).</w:t>
      </w:r>
    </w:p>
    <w:p w:rsidR="00033BB0" w:rsidRDefault="00033BB0" w:rsidP="003C5989">
      <w:pPr>
        <w:autoSpaceDE w:val="0"/>
        <w:autoSpaceDN w:val="0"/>
        <w:adjustRightInd w:val="0"/>
        <w:rPr>
          <w:rFonts w:ascii="ArialMT" w:hAnsi="ArialMT" w:cs="ArialMT"/>
          <w:color w:val="000000"/>
        </w:rPr>
      </w:pPr>
    </w:p>
    <w:p w:rsidR="003C5989" w:rsidRDefault="00A71A95" w:rsidP="00033BB0">
      <w:pPr>
        <w:autoSpaceDE w:val="0"/>
        <w:autoSpaceDN w:val="0"/>
        <w:adjustRightInd w:val="0"/>
        <w:ind w:left="720"/>
        <w:rPr>
          <w:rFonts w:ascii="ArialMT" w:hAnsi="ArialMT" w:cs="ArialMT"/>
          <w:color w:val="000000"/>
        </w:rPr>
      </w:pPr>
      <w:r w:rsidRPr="00033BB0">
        <w:rPr>
          <w:rFonts w:ascii="ArialMT" w:hAnsi="ArialMT" w:cs="ArialMT"/>
          <w:b/>
          <w:color w:val="000000"/>
        </w:rPr>
        <w:t>The Education (Pupil Information) (England) Regulations 2005</w:t>
      </w:r>
      <w:r>
        <w:rPr>
          <w:rFonts w:ascii="ArialMT" w:hAnsi="ArialMT" w:cs="ArialMT"/>
          <w:color w:val="000000"/>
        </w:rPr>
        <w:t xml:space="preserve"> gives parent</w:t>
      </w:r>
      <w:r w:rsidR="00033BB0">
        <w:rPr>
          <w:rFonts w:ascii="ArialMT" w:hAnsi="ArialMT" w:cs="ArialMT"/>
          <w:color w:val="000000"/>
        </w:rPr>
        <w:t>s</w:t>
      </w:r>
      <w:r>
        <w:rPr>
          <w:rFonts w:ascii="ArialMT" w:hAnsi="ArialMT" w:cs="ArialMT"/>
          <w:color w:val="000000"/>
        </w:rPr>
        <w:t xml:space="preserve"> the right of</w:t>
      </w:r>
      <w:r w:rsidR="003C5989">
        <w:rPr>
          <w:rFonts w:ascii="ArialMT" w:hAnsi="ArialMT" w:cs="ArialMT"/>
          <w:color w:val="000000"/>
        </w:rPr>
        <w:t xml:space="preserve"> access to curricular and educational records</w:t>
      </w:r>
      <w:r w:rsidR="0001423B">
        <w:rPr>
          <w:rFonts w:ascii="ArialMT" w:hAnsi="ArialMT" w:cs="ArialMT"/>
          <w:color w:val="000000"/>
        </w:rPr>
        <w:t xml:space="preserve"> relating to their child</w:t>
      </w:r>
      <w:r>
        <w:rPr>
          <w:rFonts w:ascii="ArialMT" w:hAnsi="ArialMT" w:cs="ArialMT"/>
          <w:color w:val="000000"/>
        </w:rPr>
        <w:t>.</w:t>
      </w:r>
    </w:p>
    <w:p w:rsidR="003C5989" w:rsidRDefault="003C5989" w:rsidP="003C5989">
      <w:pPr>
        <w:autoSpaceDE w:val="0"/>
        <w:autoSpaceDN w:val="0"/>
        <w:adjustRightInd w:val="0"/>
        <w:rPr>
          <w:rFonts w:ascii="ArialMT" w:hAnsi="ArialMT" w:cs="ArialMT"/>
          <w:color w:val="000000"/>
        </w:rPr>
      </w:pPr>
    </w:p>
    <w:p w:rsidR="003C5989" w:rsidRDefault="00033BB0" w:rsidP="003C5989">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2. </w:t>
      </w:r>
      <w:r w:rsidR="006632A4">
        <w:rPr>
          <w:rFonts w:ascii="Arial-BoldMT" w:hAnsi="Arial-BoldMT" w:cs="Arial-BoldMT"/>
          <w:b/>
          <w:bCs/>
          <w:color w:val="000000"/>
        </w:rPr>
        <w:t xml:space="preserve">Processing </w:t>
      </w:r>
      <w:r w:rsidR="003C5989">
        <w:rPr>
          <w:rFonts w:ascii="Arial-BoldMT" w:hAnsi="Arial-BoldMT" w:cs="Arial-BoldMT"/>
          <w:b/>
          <w:bCs/>
          <w:color w:val="000000"/>
        </w:rPr>
        <w:t>a request</w:t>
      </w:r>
    </w:p>
    <w:p w:rsidR="003C5989" w:rsidRDefault="003C5989" w:rsidP="003C5989">
      <w:pPr>
        <w:autoSpaceDE w:val="0"/>
        <w:autoSpaceDN w:val="0"/>
        <w:adjustRightInd w:val="0"/>
        <w:rPr>
          <w:rFonts w:ascii="ArialMT" w:hAnsi="ArialMT" w:cs="ArialMT"/>
          <w:color w:val="000000"/>
        </w:rPr>
      </w:pPr>
      <w:r>
        <w:rPr>
          <w:rFonts w:ascii="ArialMT" w:hAnsi="ArialMT" w:cs="ArialMT"/>
          <w:color w:val="000000"/>
        </w:rPr>
        <w:t>Requests for personal information must be made in writing and addressed to the Headteacher</w:t>
      </w:r>
      <w:r>
        <w:rPr>
          <w:rFonts w:ascii="Arial-BoldMT" w:hAnsi="Arial-BoldMT" w:cs="Arial-BoldMT"/>
          <w:b/>
          <w:bCs/>
          <w:color w:val="000000"/>
        </w:rPr>
        <w:t xml:space="preserve">. </w:t>
      </w:r>
      <w:r>
        <w:rPr>
          <w:rFonts w:ascii="ArialMT" w:hAnsi="ArialMT" w:cs="ArialMT"/>
          <w:color w:val="000000"/>
        </w:rPr>
        <w:t xml:space="preserve">If the initial request does not clearly identify the information required, then </w:t>
      </w:r>
      <w:r w:rsidR="00C240F7">
        <w:rPr>
          <w:rFonts w:ascii="ArialMT" w:hAnsi="ArialMT" w:cs="ArialMT"/>
          <w:color w:val="000000"/>
        </w:rPr>
        <w:t>clarification should be sought</w:t>
      </w:r>
      <w:r>
        <w:rPr>
          <w:rFonts w:ascii="ArialMT" w:hAnsi="ArialMT" w:cs="ArialMT"/>
          <w:color w:val="000000"/>
        </w:rPr>
        <w:t>.</w:t>
      </w:r>
    </w:p>
    <w:p w:rsidR="003C5989" w:rsidRDefault="003C5989" w:rsidP="003C5989">
      <w:pPr>
        <w:autoSpaceDE w:val="0"/>
        <w:autoSpaceDN w:val="0"/>
        <w:adjustRightInd w:val="0"/>
        <w:rPr>
          <w:rFonts w:ascii="ArialMT" w:hAnsi="ArialMT" w:cs="ArialMT"/>
          <w:color w:val="000000"/>
        </w:rPr>
      </w:pPr>
    </w:p>
    <w:p w:rsidR="0062039C" w:rsidRDefault="003C5989" w:rsidP="003C5989">
      <w:pPr>
        <w:autoSpaceDE w:val="0"/>
        <w:autoSpaceDN w:val="0"/>
        <w:adjustRightInd w:val="0"/>
        <w:rPr>
          <w:rFonts w:ascii="ArialMT" w:hAnsi="ArialMT" w:cs="ArialMT"/>
          <w:color w:val="000000"/>
        </w:rPr>
      </w:pPr>
      <w:r>
        <w:rPr>
          <w:rFonts w:ascii="ArialMT" w:hAnsi="ArialMT" w:cs="ArialMT"/>
          <w:color w:val="000000"/>
        </w:rPr>
        <w:t xml:space="preserve">The identity of the requestor must be </w:t>
      </w:r>
      <w:r w:rsidR="00C240F7">
        <w:rPr>
          <w:rFonts w:ascii="ArialMT" w:hAnsi="ArialMT" w:cs="ArialMT"/>
          <w:color w:val="000000"/>
        </w:rPr>
        <w:t>verified</w:t>
      </w:r>
      <w:r>
        <w:rPr>
          <w:rFonts w:ascii="ArialMT" w:hAnsi="ArialMT" w:cs="ArialMT"/>
          <w:color w:val="000000"/>
        </w:rPr>
        <w:t xml:space="preserve"> before the disclosure of any </w:t>
      </w:r>
      <w:r w:rsidR="003F0AFD">
        <w:rPr>
          <w:rFonts w:ascii="ArialMT" w:hAnsi="ArialMT" w:cs="ArialMT"/>
          <w:color w:val="000000"/>
        </w:rPr>
        <w:t xml:space="preserve">personal </w:t>
      </w:r>
      <w:r>
        <w:rPr>
          <w:rFonts w:ascii="ArialMT" w:hAnsi="ArialMT" w:cs="ArialMT"/>
          <w:color w:val="000000"/>
        </w:rPr>
        <w:t>information, and checks should also be carried out regarding proof of</w:t>
      </w:r>
      <w:r w:rsidR="003F0AFD">
        <w:rPr>
          <w:rFonts w:ascii="ArialMT" w:hAnsi="ArialMT" w:cs="ArialMT"/>
          <w:color w:val="000000"/>
        </w:rPr>
        <w:t xml:space="preserve"> </w:t>
      </w:r>
      <w:r>
        <w:rPr>
          <w:rFonts w:ascii="ArialMT" w:hAnsi="ArialMT" w:cs="ArialMT"/>
          <w:color w:val="000000"/>
        </w:rPr>
        <w:t xml:space="preserve">relationship to the child. </w:t>
      </w:r>
    </w:p>
    <w:p w:rsidR="0062039C" w:rsidRDefault="0062039C" w:rsidP="003C5989">
      <w:pPr>
        <w:autoSpaceDE w:val="0"/>
        <w:autoSpaceDN w:val="0"/>
        <w:adjustRightInd w:val="0"/>
        <w:rPr>
          <w:rFonts w:ascii="ArialMT" w:hAnsi="ArialMT" w:cs="ArialMT"/>
          <w:color w:val="000000"/>
        </w:rPr>
      </w:pPr>
    </w:p>
    <w:p w:rsidR="003C5989" w:rsidRDefault="003C5989" w:rsidP="003C5989">
      <w:pPr>
        <w:autoSpaceDE w:val="0"/>
        <w:autoSpaceDN w:val="0"/>
        <w:adjustRightInd w:val="0"/>
        <w:rPr>
          <w:rFonts w:ascii="ArialMT" w:hAnsi="ArialMT" w:cs="ArialMT"/>
          <w:color w:val="000000"/>
        </w:rPr>
      </w:pPr>
      <w:r>
        <w:rPr>
          <w:rFonts w:ascii="ArialMT" w:hAnsi="ArialMT" w:cs="ArialMT"/>
          <w:color w:val="000000"/>
        </w:rPr>
        <w:t>Evidence of identity can be established by requesting</w:t>
      </w:r>
      <w:r w:rsidR="0062039C">
        <w:rPr>
          <w:rFonts w:ascii="ArialMT" w:hAnsi="ArialMT" w:cs="ArialMT"/>
          <w:color w:val="000000"/>
        </w:rPr>
        <w:t xml:space="preserve"> </w:t>
      </w:r>
      <w:r>
        <w:rPr>
          <w:rFonts w:ascii="ArialMT" w:hAnsi="ArialMT" w:cs="ArialMT"/>
          <w:color w:val="000000"/>
        </w:rPr>
        <w:t>production of</w:t>
      </w:r>
      <w:r w:rsidR="00531727">
        <w:rPr>
          <w:rFonts w:ascii="ArialMT" w:hAnsi="ArialMT" w:cs="ArialMT"/>
          <w:color w:val="000000"/>
        </w:rPr>
        <w:t xml:space="preserve"> the following (this list is not exhaustive)</w:t>
      </w:r>
      <w:r>
        <w:rPr>
          <w:rFonts w:ascii="ArialMT" w:hAnsi="ArialMT" w:cs="ArialMT"/>
          <w:color w:val="000000"/>
        </w:rPr>
        <w:t>:</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passport</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driving licence</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utility bills with the current address</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Birth / Marriage certificate</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P45/P60</w:t>
      </w:r>
    </w:p>
    <w:p w:rsidR="003C5989" w:rsidRDefault="003C5989"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Credit Card or Mortgage statement</w:t>
      </w:r>
    </w:p>
    <w:p w:rsidR="00C240F7" w:rsidRDefault="00C240F7" w:rsidP="003C5989">
      <w:pPr>
        <w:numPr>
          <w:ilvl w:val="0"/>
          <w:numId w:val="1"/>
        </w:numPr>
        <w:autoSpaceDE w:val="0"/>
        <w:autoSpaceDN w:val="0"/>
        <w:adjustRightInd w:val="0"/>
        <w:rPr>
          <w:rFonts w:ascii="ArialMT" w:hAnsi="ArialMT" w:cs="ArialMT"/>
          <w:color w:val="000000"/>
        </w:rPr>
      </w:pPr>
      <w:r>
        <w:rPr>
          <w:rFonts w:ascii="ArialMT" w:hAnsi="ArialMT" w:cs="ArialMT"/>
          <w:color w:val="000000"/>
        </w:rPr>
        <w:t xml:space="preserve">Parental </w:t>
      </w:r>
      <w:r w:rsidR="00BF2E2B">
        <w:rPr>
          <w:rFonts w:ascii="ArialMT" w:hAnsi="ArialMT" w:cs="ArialMT"/>
          <w:color w:val="000000"/>
        </w:rPr>
        <w:t>Responsibility</w:t>
      </w:r>
    </w:p>
    <w:p w:rsidR="003C5989" w:rsidRDefault="003C5989" w:rsidP="003C5989">
      <w:pPr>
        <w:autoSpaceDE w:val="0"/>
        <w:autoSpaceDN w:val="0"/>
        <w:adjustRightInd w:val="0"/>
        <w:rPr>
          <w:rFonts w:ascii="ArialMT" w:hAnsi="ArialMT" w:cs="ArialMT"/>
          <w:color w:val="000000"/>
        </w:rPr>
      </w:pPr>
    </w:p>
    <w:p w:rsidR="006632A4" w:rsidRDefault="006632A4" w:rsidP="006632A4">
      <w:pPr>
        <w:overflowPunct w:val="0"/>
        <w:autoSpaceDE w:val="0"/>
        <w:autoSpaceDN w:val="0"/>
        <w:adjustRightInd w:val="0"/>
        <w:jc w:val="both"/>
        <w:textAlignment w:val="baseline"/>
        <w:rPr>
          <w:rFonts w:cs="Arial"/>
          <w:lang w:eastAsia="en-US"/>
        </w:rPr>
      </w:pPr>
      <w:r>
        <w:rPr>
          <w:rFonts w:cs="Arial"/>
          <w:lang w:eastAsia="en-US"/>
        </w:rPr>
        <w:t>Individuals</w:t>
      </w:r>
      <w:r w:rsidRPr="006632A4">
        <w:rPr>
          <w:rFonts w:cs="Arial"/>
          <w:lang w:eastAsia="en-US"/>
        </w:rPr>
        <w:t xml:space="preserve"> are entitled to be told if we are processing their personal information, obtain a copy of that information and other supplementary information – see below.</w:t>
      </w:r>
    </w:p>
    <w:p w:rsidR="006632A4" w:rsidRPr="006632A4" w:rsidRDefault="006632A4" w:rsidP="006632A4">
      <w:p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In addition to a copy of their personal data, you also have to provide individuals with the following information:</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 xml:space="preserve">the purposes </w:t>
      </w:r>
      <w:r w:rsidR="00C240F7">
        <w:rPr>
          <w:rFonts w:cs="Arial"/>
          <w:color w:val="000000"/>
        </w:rPr>
        <w:t>for</w:t>
      </w:r>
      <w:r w:rsidRPr="006632A4">
        <w:rPr>
          <w:rFonts w:cs="Arial"/>
          <w:color w:val="000000"/>
        </w:rPr>
        <w:t xml:space="preserve"> processing</w:t>
      </w:r>
      <w:r w:rsidR="00C240F7">
        <w:rPr>
          <w:rFonts w:cs="Arial"/>
          <w:color w:val="000000"/>
        </w:rPr>
        <w:t xml:space="preserve"> their data</w:t>
      </w:r>
      <w:r w:rsidRPr="006632A4">
        <w:rPr>
          <w:rFonts w:cs="Arial"/>
          <w:color w:val="000000"/>
        </w:rPr>
        <w:t>;</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the categories of personal data concerned;</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the recipients or categories of recipient you disclose the personal data to;</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your retention period for storing the personal data or, where this is not possible, your criteria for determining how long you will store it;</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the existence of their right to request rectification, erasure or restriction or to object to such processing;</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the right to lodge a complaint with the ICO or another supervisory authority;</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lastRenderedPageBreak/>
        <w:t>information about the source of the data, where it was not obtained directly from the individual;</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r w:rsidRPr="006632A4">
        <w:rPr>
          <w:rFonts w:cs="Arial"/>
          <w:color w:val="000000"/>
        </w:rPr>
        <w:t>the existence of automated decision-making (including profiling); and</w:t>
      </w:r>
    </w:p>
    <w:p w:rsidR="006632A4" w:rsidRPr="006632A4" w:rsidRDefault="006632A4" w:rsidP="006632A4">
      <w:pPr>
        <w:numPr>
          <w:ilvl w:val="0"/>
          <w:numId w:val="6"/>
        </w:numPr>
        <w:shd w:val="clear" w:color="auto" w:fill="FFFFFF"/>
        <w:overflowPunct w:val="0"/>
        <w:autoSpaceDE w:val="0"/>
        <w:autoSpaceDN w:val="0"/>
        <w:adjustRightInd w:val="0"/>
        <w:spacing w:before="120" w:beforeAutospacing="1" w:after="100" w:afterAutospacing="1"/>
        <w:textAlignment w:val="baseline"/>
        <w:rPr>
          <w:rFonts w:cs="Arial"/>
          <w:color w:val="000000"/>
        </w:rPr>
      </w:pPr>
      <w:proofErr w:type="gramStart"/>
      <w:r w:rsidRPr="006632A4">
        <w:rPr>
          <w:rFonts w:cs="Arial"/>
          <w:color w:val="000000"/>
        </w:rPr>
        <w:t>the</w:t>
      </w:r>
      <w:proofErr w:type="gramEnd"/>
      <w:r w:rsidRPr="006632A4">
        <w:rPr>
          <w:rFonts w:cs="Arial"/>
          <w:color w:val="000000"/>
        </w:rPr>
        <w:t xml:space="preserve"> safeguards you provide if you transfer personal data to a third country or international organisation.</w:t>
      </w:r>
    </w:p>
    <w:p w:rsidR="006632A4" w:rsidRDefault="006632A4" w:rsidP="006632A4">
      <w:pPr>
        <w:overflowPunct w:val="0"/>
        <w:autoSpaceDE w:val="0"/>
        <w:autoSpaceDN w:val="0"/>
        <w:adjustRightInd w:val="0"/>
        <w:jc w:val="both"/>
        <w:textAlignment w:val="baseline"/>
        <w:rPr>
          <w:rFonts w:cs="Arial"/>
          <w:lang w:eastAsia="en-US"/>
        </w:rPr>
      </w:pPr>
      <w:r w:rsidRPr="006632A4">
        <w:rPr>
          <w:rFonts w:cs="Arial"/>
          <w:lang w:eastAsia="en-US"/>
        </w:rPr>
        <w:t>Much of this information will already be included in your privacy notice.</w:t>
      </w:r>
    </w:p>
    <w:p w:rsidR="00BA7FD4" w:rsidRDefault="00BA7FD4" w:rsidP="006632A4">
      <w:pPr>
        <w:overflowPunct w:val="0"/>
        <w:autoSpaceDE w:val="0"/>
        <w:autoSpaceDN w:val="0"/>
        <w:adjustRightInd w:val="0"/>
        <w:jc w:val="both"/>
        <w:textAlignment w:val="baseline"/>
        <w:rPr>
          <w:rFonts w:cs="Arial"/>
          <w:lang w:eastAsia="en-US"/>
        </w:rPr>
      </w:pPr>
    </w:p>
    <w:p w:rsidR="00BA7FD4" w:rsidRDefault="00BA7FD4" w:rsidP="00BA7FD4">
      <w:pPr>
        <w:autoSpaceDE w:val="0"/>
        <w:autoSpaceDN w:val="0"/>
        <w:adjustRightInd w:val="0"/>
        <w:rPr>
          <w:rFonts w:ascii="ArialMT" w:hAnsi="ArialMT" w:cs="ArialMT"/>
          <w:color w:val="000000"/>
        </w:rPr>
      </w:pPr>
      <w:r>
        <w:rPr>
          <w:rFonts w:ascii="ArialMT" w:hAnsi="ArialMT" w:cs="ArialMT"/>
          <w:color w:val="000000"/>
        </w:rPr>
        <w:t xml:space="preserve">Information can be viewed at the school with a member of staff on hand to help and explain matters if requested or provided at </w:t>
      </w:r>
      <w:r w:rsidR="00C240F7">
        <w:rPr>
          <w:rFonts w:ascii="ArialMT" w:hAnsi="ArialMT" w:cs="ArialMT"/>
          <w:color w:val="000000"/>
        </w:rPr>
        <w:t xml:space="preserve">a </w:t>
      </w:r>
      <w:r>
        <w:rPr>
          <w:rFonts w:ascii="ArialMT" w:hAnsi="ArialMT" w:cs="ArialMT"/>
          <w:color w:val="000000"/>
        </w:rPr>
        <w:t>face to face handover.</w:t>
      </w:r>
    </w:p>
    <w:p w:rsidR="00BA7FD4" w:rsidRDefault="00BA7FD4" w:rsidP="00BA7FD4">
      <w:pPr>
        <w:autoSpaceDE w:val="0"/>
        <w:autoSpaceDN w:val="0"/>
        <w:adjustRightInd w:val="0"/>
        <w:rPr>
          <w:rFonts w:ascii="ArialMT" w:hAnsi="ArialMT" w:cs="ArialMT"/>
          <w:color w:val="000000"/>
        </w:rPr>
      </w:pPr>
      <w:r>
        <w:rPr>
          <w:rFonts w:ascii="ArialMT" w:hAnsi="ArialMT" w:cs="ArialMT"/>
          <w:color w:val="000000"/>
        </w:rPr>
        <w:t>The views of the applicant should be taken into account when considering the</w:t>
      </w:r>
    </w:p>
    <w:p w:rsidR="00BA7FD4" w:rsidRDefault="00BA7FD4" w:rsidP="00BA7FD4">
      <w:pPr>
        <w:autoSpaceDE w:val="0"/>
        <w:autoSpaceDN w:val="0"/>
        <w:adjustRightInd w:val="0"/>
        <w:rPr>
          <w:rFonts w:ascii="ArialMT" w:hAnsi="ArialMT" w:cs="ArialMT"/>
          <w:color w:val="000000"/>
        </w:rPr>
      </w:pPr>
      <w:proofErr w:type="gramStart"/>
      <w:r>
        <w:rPr>
          <w:rFonts w:ascii="ArialMT" w:hAnsi="ArialMT" w:cs="ArialMT"/>
          <w:color w:val="000000"/>
        </w:rPr>
        <w:t>method</w:t>
      </w:r>
      <w:proofErr w:type="gramEnd"/>
      <w:r>
        <w:rPr>
          <w:rFonts w:ascii="ArialMT" w:hAnsi="ArialMT" w:cs="ArialMT"/>
          <w:color w:val="000000"/>
        </w:rPr>
        <w:t xml:space="preserve"> of delivery. If the applicant has asked for the information to be posted then special next day delivery or recorded delivery postal service must be used.</w:t>
      </w:r>
    </w:p>
    <w:p w:rsidR="006632A4" w:rsidRDefault="006632A4" w:rsidP="006632A4">
      <w:pPr>
        <w:overflowPunct w:val="0"/>
        <w:autoSpaceDE w:val="0"/>
        <w:autoSpaceDN w:val="0"/>
        <w:adjustRightInd w:val="0"/>
        <w:jc w:val="both"/>
        <w:textAlignment w:val="baseline"/>
        <w:rPr>
          <w:rFonts w:cs="Arial"/>
          <w:lang w:eastAsia="en-US"/>
        </w:rPr>
      </w:pPr>
    </w:p>
    <w:p w:rsidR="006632A4" w:rsidRPr="006632A4" w:rsidRDefault="006632A4" w:rsidP="006632A4">
      <w:pPr>
        <w:numPr>
          <w:ilvl w:val="0"/>
          <w:numId w:val="4"/>
        </w:numPr>
        <w:overflowPunct w:val="0"/>
        <w:autoSpaceDE w:val="0"/>
        <w:autoSpaceDN w:val="0"/>
        <w:adjustRightInd w:val="0"/>
        <w:jc w:val="both"/>
        <w:textAlignment w:val="baseline"/>
        <w:rPr>
          <w:rFonts w:cs="Arial"/>
          <w:lang w:eastAsia="en-US"/>
        </w:rPr>
      </w:pPr>
      <w:r w:rsidRPr="006632A4">
        <w:rPr>
          <w:rFonts w:cs="Arial"/>
          <w:b/>
          <w:lang w:eastAsia="en-US"/>
        </w:rPr>
        <w:t>Information relating to children</w:t>
      </w:r>
    </w:p>
    <w:p w:rsidR="006632A4" w:rsidRPr="006632A4" w:rsidRDefault="006632A4" w:rsidP="006632A4">
      <w:pPr>
        <w:tabs>
          <w:tab w:val="left" w:pos="1440"/>
        </w:tabs>
        <w:overflowPunct w:val="0"/>
        <w:autoSpaceDE w:val="0"/>
        <w:autoSpaceDN w:val="0"/>
        <w:adjustRightInd w:val="0"/>
        <w:jc w:val="both"/>
        <w:textAlignment w:val="baseline"/>
        <w:rPr>
          <w:rFonts w:cs="Arial"/>
          <w:lang w:eastAsia="en-US"/>
        </w:rPr>
      </w:pPr>
      <w:r w:rsidRPr="006632A4">
        <w:rPr>
          <w:rFonts w:cs="Arial"/>
          <w:lang w:eastAsia="en-US"/>
        </w:rPr>
        <w:t>Children have the same rights of access to their own personal information as adults, and the same rights of privacy. There is no minimum age in English law, however current practice accepts that, provided a child is mature enough to understand their rights, a child of</w:t>
      </w:r>
      <w:r w:rsidR="00C240F7">
        <w:rPr>
          <w:rFonts w:cs="Arial"/>
          <w:lang w:eastAsia="en-US"/>
        </w:rPr>
        <w:t>,</w:t>
      </w:r>
      <w:r w:rsidRPr="006632A4">
        <w:rPr>
          <w:rFonts w:cs="Arial"/>
          <w:lang w:eastAsia="en-US"/>
        </w:rPr>
        <w:t xml:space="preserve"> or over the age of 13 years shall be considered capable of giving consent.  This does not rule out receipt of a valid request from a child of a younger age, as each request should be considered on its merits on an individual basis. </w:t>
      </w:r>
    </w:p>
    <w:p w:rsidR="006632A4" w:rsidRPr="006632A4" w:rsidRDefault="006632A4" w:rsidP="006632A4">
      <w:pPr>
        <w:tabs>
          <w:tab w:val="left" w:pos="1440"/>
        </w:tabs>
        <w:overflowPunct w:val="0"/>
        <w:autoSpaceDE w:val="0"/>
        <w:autoSpaceDN w:val="0"/>
        <w:adjustRightInd w:val="0"/>
        <w:jc w:val="both"/>
        <w:textAlignment w:val="baseline"/>
        <w:rPr>
          <w:rFonts w:ascii="Verdana" w:hAnsi="Verdana"/>
          <w:sz w:val="22"/>
          <w:szCs w:val="20"/>
          <w:lang w:eastAsia="en-US"/>
        </w:rPr>
      </w:pPr>
    </w:p>
    <w:p w:rsidR="006632A4" w:rsidRPr="006632A4" w:rsidRDefault="006632A4" w:rsidP="006632A4">
      <w:pPr>
        <w:tabs>
          <w:tab w:val="left" w:pos="1440"/>
        </w:tabs>
        <w:overflowPunct w:val="0"/>
        <w:autoSpaceDE w:val="0"/>
        <w:autoSpaceDN w:val="0"/>
        <w:adjustRightInd w:val="0"/>
        <w:jc w:val="both"/>
        <w:textAlignment w:val="baseline"/>
        <w:rPr>
          <w:rFonts w:cs="Arial"/>
          <w:lang w:eastAsia="en-US"/>
        </w:rPr>
      </w:pPr>
      <w:r w:rsidRPr="006632A4">
        <w:rPr>
          <w:rFonts w:cs="Arial"/>
          <w:lang w:eastAsia="en-US"/>
        </w:rPr>
        <w:t xml:space="preserve">When a subject access request is received from a child it will need to be judged whether the child has the capacity to understand the implications of their request and of the information provided as a result of that request. If the child does understand then their request will be dealt with in the same way as that of an adult. </w:t>
      </w:r>
    </w:p>
    <w:p w:rsidR="006632A4" w:rsidRPr="006632A4" w:rsidRDefault="006632A4" w:rsidP="006632A4">
      <w:pPr>
        <w:tabs>
          <w:tab w:val="left" w:pos="1440"/>
        </w:tabs>
        <w:overflowPunct w:val="0"/>
        <w:autoSpaceDE w:val="0"/>
        <w:autoSpaceDN w:val="0"/>
        <w:adjustRightInd w:val="0"/>
        <w:jc w:val="both"/>
        <w:textAlignment w:val="baseline"/>
        <w:rPr>
          <w:rFonts w:cs="Arial"/>
          <w:lang w:eastAsia="en-US"/>
        </w:rPr>
      </w:pPr>
    </w:p>
    <w:p w:rsidR="006632A4" w:rsidRDefault="006632A4" w:rsidP="006632A4">
      <w:pPr>
        <w:tabs>
          <w:tab w:val="left" w:pos="1440"/>
        </w:tabs>
        <w:overflowPunct w:val="0"/>
        <w:autoSpaceDE w:val="0"/>
        <w:autoSpaceDN w:val="0"/>
        <w:adjustRightInd w:val="0"/>
        <w:jc w:val="both"/>
        <w:textAlignment w:val="baseline"/>
        <w:rPr>
          <w:rFonts w:ascii="ArialMT" w:hAnsi="ArialMT" w:cs="ArialMT"/>
          <w:color w:val="000000"/>
        </w:rPr>
      </w:pPr>
      <w:r w:rsidRPr="006632A4">
        <w:rPr>
          <w:rFonts w:cs="Arial"/>
          <w:lang w:eastAsia="en-US"/>
        </w:rPr>
        <w:t>If a parent or legal guardian makes a request on behalf of a child age 13 and over the request will only be complied with when assurances are received that the child has authorised the request and that their consent was not obtained under duress or on the basis of misleading information. If the child does not understand, then a request from a parent or legal guardian for the child’s information will only be complied with when assurances are received that they are acting in the best interests of the child.</w:t>
      </w:r>
    </w:p>
    <w:p w:rsidR="006632A4" w:rsidRPr="006632A4" w:rsidRDefault="006632A4" w:rsidP="006632A4">
      <w:pPr>
        <w:overflowPunct w:val="0"/>
        <w:autoSpaceDE w:val="0"/>
        <w:autoSpaceDN w:val="0"/>
        <w:adjustRightInd w:val="0"/>
        <w:ind w:left="397"/>
        <w:jc w:val="both"/>
        <w:textAlignment w:val="baseline"/>
        <w:rPr>
          <w:rFonts w:cs="Arial"/>
          <w:lang w:eastAsia="en-US"/>
        </w:rPr>
      </w:pPr>
    </w:p>
    <w:p w:rsidR="00033BB0" w:rsidRDefault="00033BB0" w:rsidP="00033BB0">
      <w:pPr>
        <w:autoSpaceDE w:val="0"/>
        <w:autoSpaceDN w:val="0"/>
        <w:adjustRightInd w:val="0"/>
        <w:rPr>
          <w:rFonts w:ascii="ArialMT" w:hAnsi="ArialMT" w:cs="ArialMT"/>
          <w:b/>
          <w:color w:val="000000"/>
        </w:rPr>
      </w:pPr>
      <w:r>
        <w:rPr>
          <w:rFonts w:ascii="ArialMT" w:hAnsi="ArialMT" w:cs="ArialMT"/>
          <w:b/>
          <w:color w:val="000000"/>
        </w:rPr>
        <w:t>4</w:t>
      </w:r>
      <w:r w:rsidRPr="00A71A95">
        <w:rPr>
          <w:rFonts w:ascii="ArialMT" w:hAnsi="ArialMT" w:cs="ArialMT"/>
          <w:b/>
          <w:color w:val="000000"/>
        </w:rPr>
        <w:t>. Response time</w:t>
      </w:r>
    </w:p>
    <w:p w:rsidR="00BF2E2B" w:rsidRDefault="00BF2E2B" w:rsidP="00033BB0">
      <w:pPr>
        <w:autoSpaceDE w:val="0"/>
        <w:autoSpaceDN w:val="0"/>
        <w:adjustRightInd w:val="0"/>
        <w:rPr>
          <w:rFonts w:ascii="ArialMT" w:hAnsi="ArialMT" w:cs="ArialMT"/>
          <w:b/>
          <w:color w:val="000000"/>
        </w:rPr>
      </w:pPr>
    </w:p>
    <w:p w:rsidR="00033BB0" w:rsidRPr="00A71A95" w:rsidRDefault="00033BB0" w:rsidP="00033BB0">
      <w:pPr>
        <w:autoSpaceDE w:val="0"/>
        <w:autoSpaceDN w:val="0"/>
        <w:adjustRightInd w:val="0"/>
        <w:rPr>
          <w:rFonts w:ascii="ArialMT" w:hAnsi="ArialMT" w:cs="ArialMT"/>
          <w:b/>
          <w:color w:val="000000"/>
        </w:rPr>
      </w:pPr>
      <w:r>
        <w:rPr>
          <w:rFonts w:ascii="ArialMT" w:hAnsi="ArialMT" w:cs="ArialMT"/>
          <w:b/>
          <w:color w:val="000000"/>
        </w:rPr>
        <w:t>GDPR &amp; DPA</w:t>
      </w:r>
    </w:p>
    <w:p w:rsidR="00033BB0" w:rsidRDefault="00033BB0" w:rsidP="00033BB0">
      <w:pPr>
        <w:jc w:val="both"/>
        <w:rPr>
          <w:rFonts w:cs="Arial"/>
          <w:lang w:eastAsia="en-US"/>
        </w:rPr>
      </w:pPr>
      <w:r>
        <w:rPr>
          <w:rFonts w:ascii="ArialMT" w:hAnsi="ArialMT" w:cs="ArialMT"/>
          <w:color w:val="000000"/>
        </w:rPr>
        <w:t xml:space="preserve">The response time for compliance with a subject access request is </w:t>
      </w:r>
      <w:r w:rsidRPr="006E2553">
        <w:rPr>
          <w:rFonts w:ascii="ArialMT" w:hAnsi="ArialMT" w:cs="ArialMT"/>
          <w:b/>
          <w:color w:val="000000"/>
        </w:rPr>
        <w:t>one month</w:t>
      </w:r>
      <w:r>
        <w:rPr>
          <w:rFonts w:ascii="ArialMT" w:hAnsi="ArialMT" w:cs="ArialMT"/>
          <w:color w:val="000000"/>
        </w:rPr>
        <w:t xml:space="preserve"> following date of </w:t>
      </w:r>
      <w:proofErr w:type="gramStart"/>
      <w:r>
        <w:rPr>
          <w:rFonts w:ascii="ArialMT" w:hAnsi="ArialMT" w:cs="ArialMT"/>
          <w:color w:val="000000"/>
        </w:rPr>
        <w:t>receipt.</w:t>
      </w:r>
      <w:proofErr w:type="gramEnd"/>
      <w:r w:rsidRPr="00033BB0">
        <w:rPr>
          <w:rFonts w:cs="Arial"/>
          <w:lang w:eastAsia="en-US"/>
        </w:rPr>
        <w:t xml:space="preserve"> The timeframe does not begin until </w:t>
      </w:r>
      <w:r>
        <w:rPr>
          <w:rFonts w:cs="Arial"/>
          <w:lang w:eastAsia="en-US"/>
        </w:rPr>
        <w:t>the school</w:t>
      </w:r>
      <w:r w:rsidRPr="00033BB0">
        <w:rPr>
          <w:rFonts w:cs="Arial"/>
          <w:lang w:eastAsia="en-US"/>
        </w:rPr>
        <w:t xml:space="preserve"> ha</w:t>
      </w:r>
      <w:r>
        <w:rPr>
          <w:rFonts w:cs="Arial"/>
          <w:lang w:eastAsia="en-US"/>
        </w:rPr>
        <w:t>s</w:t>
      </w:r>
      <w:r w:rsidRPr="00033BB0">
        <w:rPr>
          <w:rFonts w:cs="Arial"/>
          <w:lang w:eastAsia="en-US"/>
        </w:rPr>
        <w:t xml:space="preserve"> received all the information necessary to comply with the request</w:t>
      </w:r>
      <w:r>
        <w:rPr>
          <w:rFonts w:cs="Arial"/>
          <w:lang w:eastAsia="en-US"/>
        </w:rPr>
        <w:t xml:space="preserve"> i.e. proof of identity</w:t>
      </w:r>
      <w:r w:rsidRPr="00033BB0">
        <w:rPr>
          <w:rFonts w:cs="Arial"/>
          <w:lang w:eastAsia="en-US"/>
        </w:rPr>
        <w:t xml:space="preserve">. </w:t>
      </w:r>
    </w:p>
    <w:p w:rsidR="00033BB0" w:rsidRDefault="00033BB0" w:rsidP="00033BB0">
      <w:pPr>
        <w:jc w:val="both"/>
        <w:rPr>
          <w:rFonts w:cs="Arial"/>
          <w:lang w:eastAsia="en-US"/>
        </w:rPr>
      </w:pPr>
    </w:p>
    <w:p w:rsidR="00033BB0" w:rsidRDefault="00033BB0" w:rsidP="00033BB0">
      <w:pPr>
        <w:overflowPunct w:val="0"/>
        <w:autoSpaceDE w:val="0"/>
        <w:autoSpaceDN w:val="0"/>
        <w:adjustRightInd w:val="0"/>
        <w:jc w:val="both"/>
        <w:textAlignment w:val="baseline"/>
        <w:rPr>
          <w:rFonts w:cs="Arial"/>
          <w:lang w:eastAsia="en-US"/>
        </w:rPr>
      </w:pPr>
      <w:r w:rsidRPr="00033BB0">
        <w:rPr>
          <w:rFonts w:cs="Arial"/>
          <w:lang w:eastAsia="en-US"/>
        </w:rPr>
        <w:t xml:space="preserve">You </w:t>
      </w:r>
      <w:r>
        <w:rPr>
          <w:rFonts w:cs="Arial"/>
          <w:lang w:eastAsia="en-US"/>
        </w:rPr>
        <w:t>may</w:t>
      </w:r>
      <w:r w:rsidRPr="00033BB0">
        <w:rPr>
          <w:rFonts w:cs="Arial"/>
          <w:lang w:eastAsia="en-US"/>
        </w:rPr>
        <w:t xml:space="preserve"> be able to extend the timeframe by a further two months where requests are complex or numerous. If this is the case, you must inform the individual within one month of the receipt of the request and explain why the extension is necessary. </w:t>
      </w:r>
    </w:p>
    <w:p w:rsidR="00CF6350" w:rsidRDefault="00CF6350" w:rsidP="00033BB0">
      <w:pPr>
        <w:overflowPunct w:val="0"/>
        <w:autoSpaceDE w:val="0"/>
        <w:autoSpaceDN w:val="0"/>
        <w:adjustRightInd w:val="0"/>
        <w:jc w:val="both"/>
        <w:textAlignment w:val="baseline"/>
        <w:rPr>
          <w:rFonts w:cs="Arial"/>
          <w:lang w:eastAsia="en-US"/>
        </w:rPr>
      </w:pPr>
    </w:p>
    <w:p w:rsidR="00CF6350" w:rsidRPr="00033BB0" w:rsidRDefault="00CF6350" w:rsidP="00033BB0">
      <w:pPr>
        <w:overflowPunct w:val="0"/>
        <w:autoSpaceDE w:val="0"/>
        <w:autoSpaceDN w:val="0"/>
        <w:adjustRightInd w:val="0"/>
        <w:jc w:val="both"/>
        <w:textAlignment w:val="baseline"/>
        <w:rPr>
          <w:rFonts w:cs="Arial"/>
          <w:lang w:eastAsia="en-US"/>
        </w:rPr>
      </w:pPr>
    </w:p>
    <w:p w:rsidR="00033BB0" w:rsidRDefault="00033BB0" w:rsidP="00033BB0">
      <w:pPr>
        <w:autoSpaceDE w:val="0"/>
        <w:autoSpaceDN w:val="0"/>
        <w:adjustRightInd w:val="0"/>
        <w:rPr>
          <w:rFonts w:ascii="ArialMT" w:hAnsi="ArialMT" w:cs="ArialMT"/>
          <w:color w:val="000000"/>
        </w:rPr>
      </w:pPr>
    </w:p>
    <w:p w:rsidR="00033BB0" w:rsidRPr="00033BB0" w:rsidRDefault="00033BB0" w:rsidP="00033BB0">
      <w:pPr>
        <w:autoSpaceDE w:val="0"/>
        <w:autoSpaceDN w:val="0"/>
        <w:adjustRightInd w:val="0"/>
        <w:rPr>
          <w:rFonts w:ascii="ArialMT" w:hAnsi="ArialMT" w:cs="ArialMT"/>
          <w:b/>
          <w:color w:val="000000"/>
        </w:rPr>
      </w:pPr>
      <w:r w:rsidRPr="00033BB0">
        <w:rPr>
          <w:rFonts w:ascii="ArialMT" w:hAnsi="ArialMT" w:cs="ArialMT"/>
          <w:b/>
          <w:color w:val="000000"/>
        </w:rPr>
        <w:lastRenderedPageBreak/>
        <w:t>Educ</w:t>
      </w:r>
      <w:r>
        <w:rPr>
          <w:rFonts w:ascii="ArialMT" w:hAnsi="ArialMT" w:cs="ArialMT"/>
          <w:b/>
          <w:color w:val="000000"/>
        </w:rPr>
        <w:t>a</w:t>
      </w:r>
      <w:r w:rsidRPr="00033BB0">
        <w:rPr>
          <w:rFonts w:ascii="ArialMT" w:hAnsi="ArialMT" w:cs="ArialMT"/>
          <w:b/>
          <w:color w:val="000000"/>
        </w:rPr>
        <w:t>tion Regulations</w:t>
      </w:r>
    </w:p>
    <w:p w:rsidR="00033BB0" w:rsidRDefault="00033BB0" w:rsidP="003C5989">
      <w:pPr>
        <w:autoSpaceDE w:val="0"/>
        <w:autoSpaceDN w:val="0"/>
        <w:adjustRightInd w:val="0"/>
        <w:rPr>
          <w:rFonts w:ascii="ArialMT" w:hAnsi="ArialMT" w:cs="ArialMT"/>
          <w:color w:val="000000"/>
        </w:rPr>
      </w:pPr>
      <w:r>
        <w:rPr>
          <w:rFonts w:ascii="ArialMT" w:hAnsi="ArialMT" w:cs="ArialMT"/>
          <w:color w:val="000000"/>
        </w:rPr>
        <w:t xml:space="preserve">Requests for information from parents for access to information classed as being part of the education record must be responded to within </w:t>
      </w:r>
      <w:r w:rsidRPr="0062039C">
        <w:rPr>
          <w:rFonts w:ascii="ArialMT" w:hAnsi="ArialMT" w:cs="ArialMT"/>
          <w:b/>
          <w:color w:val="000000"/>
        </w:rPr>
        <w:t>15 school days.</w:t>
      </w:r>
    </w:p>
    <w:p w:rsidR="00DE3613" w:rsidRDefault="00DE3613" w:rsidP="003C5989">
      <w:pPr>
        <w:autoSpaceDE w:val="0"/>
        <w:autoSpaceDN w:val="0"/>
        <w:adjustRightInd w:val="0"/>
        <w:rPr>
          <w:rFonts w:ascii="ArialMT" w:hAnsi="ArialMT" w:cs="ArialMT"/>
          <w:color w:val="000000"/>
        </w:rPr>
      </w:pPr>
    </w:p>
    <w:p w:rsidR="006632A4" w:rsidRDefault="00033BB0" w:rsidP="00A71A95">
      <w:pPr>
        <w:autoSpaceDE w:val="0"/>
        <w:autoSpaceDN w:val="0"/>
        <w:adjustRightInd w:val="0"/>
        <w:rPr>
          <w:rFonts w:ascii="ArialMT" w:hAnsi="ArialMT" w:cs="ArialMT"/>
          <w:b/>
          <w:color w:val="000000"/>
        </w:rPr>
      </w:pPr>
      <w:r>
        <w:rPr>
          <w:rFonts w:ascii="ArialMT" w:hAnsi="ArialMT" w:cs="ArialMT"/>
          <w:b/>
          <w:color w:val="000000"/>
        </w:rPr>
        <w:t>5</w:t>
      </w:r>
      <w:r w:rsidR="003C5989" w:rsidRPr="00A71A95">
        <w:rPr>
          <w:rFonts w:ascii="ArialMT" w:hAnsi="ArialMT" w:cs="ArialMT"/>
          <w:b/>
          <w:color w:val="000000"/>
        </w:rPr>
        <w:t xml:space="preserve">. </w:t>
      </w:r>
      <w:r w:rsidR="00A71A95" w:rsidRPr="00A71A95">
        <w:rPr>
          <w:rFonts w:ascii="ArialMT" w:hAnsi="ArialMT" w:cs="ArialMT"/>
          <w:b/>
          <w:color w:val="000000"/>
        </w:rPr>
        <w:t>Charges</w:t>
      </w:r>
    </w:p>
    <w:p w:rsidR="006632A4" w:rsidRDefault="006632A4" w:rsidP="00A71A95">
      <w:pPr>
        <w:autoSpaceDE w:val="0"/>
        <w:autoSpaceDN w:val="0"/>
        <w:adjustRightInd w:val="0"/>
        <w:rPr>
          <w:rFonts w:ascii="ArialMT" w:hAnsi="ArialMT" w:cs="ArialMT"/>
          <w:b/>
          <w:color w:val="000000"/>
        </w:rPr>
      </w:pPr>
      <w:r>
        <w:rPr>
          <w:rFonts w:ascii="ArialMT" w:hAnsi="ArialMT" w:cs="ArialMT"/>
          <w:b/>
          <w:color w:val="000000"/>
        </w:rPr>
        <w:t>Under GDPR</w:t>
      </w:r>
      <w:r w:rsidR="00531727">
        <w:rPr>
          <w:rFonts w:ascii="ArialMT" w:hAnsi="ArialMT" w:cs="ArialMT"/>
          <w:b/>
          <w:color w:val="000000"/>
        </w:rPr>
        <w:t xml:space="preserve"> &amp; DPA</w:t>
      </w:r>
      <w:r>
        <w:rPr>
          <w:rFonts w:ascii="ArialMT" w:hAnsi="ArialMT" w:cs="ArialMT"/>
          <w:b/>
          <w:color w:val="000000"/>
        </w:rPr>
        <w:t>:</w:t>
      </w:r>
    </w:p>
    <w:p w:rsidR="006632A4" w:rsidRPr="006E2553" w:rsidRDefault="006632A4" w:rsidP="006632A4">
      <w:pPr>
        <w:pStyle w:val="NormalWeb"/>
        <w:shd w:val="clear" w:color="auto" w:fill="FFFFFF"/>
        <w:spacing w:before="0" w:beforeAutospacing="0" w:after="240" w:afterAutospacing="0"/>
        <w:rPr>
          <w:rFonts w:ascii="Arial" w:hAnsi="Arial" w:cs="Arial"/>
          <w:color w:val="000000"/>
        </w:rPr>
      </w:pPr>
      <w:r>
        <w:rPr>
          <w:rFonts w:ascii="ArialMT" w:hAnsi="ArialMT" w:cs="ArialMT"/>
          <w:color w:val="000000"/>
        </w:rPr>
        <w:t xml:space="preserve">Should the information requested be personal information that </w:t>
      </w:r>
      <w:r w:rsidRPr="00BA7FD4">
        <w:rPr>
          <w:rFonts w:ascii="ArialMT" w:hAnsi="ArialMT" w:cs="ArialMT"/>
          <w:b/>
          <w:color w:val="000000"/>
        </w:rPr>
        <w:t>does not</w:t>
      </w:r>
      <w:r w:rsidRPr="00BA7FD4">
        <w:rPr>
          <w:rFonts w:ascii="ArialMT" w:hAnsi="ArialMT" w:cs="ArialMT"/>
          <w:color w:val="000000"/>
        </w:rPr>
        <w:t xml:space="preserve"> include any information contained within educational records</w:t>
      </w:r>
      <w:r>
        <w:rPr>
          <w:rFonts w:ascii="ArialMT" w:hAnsi="ArialMT" w:cs="ArialMT"/>
          <w:color w:val="000000"/>
        </w:rPr>
        <w:t xml:space="preserve"> </w:t>
      </w:r>
      <w:r w:rsidR="00BA7FD4">
        <w:rPr>
          <w:rFonts w:ascii="ArialMT" w:hAnsi="ArialMT" w:cs="ArialMT"/>
          <w:color w:val="000000"/>
        </w:rPr>
        <w:t>the school</w:t>
      </w:r>
      <w:r>
        <w:rPr>
          <w:rFonts w:ascii="ArialMT" w:hAnsi="ArialMT" w:cs="ArialMT"/>
          <w:color w:val="000000"/>
        </w:rPr>
        <w:t xml:space="preserve"> cannot make a charge, </w:t>
      </w:r>
      <w:r w:rsidRPr="006E2553">
        <w:rPr>
          <w:rFonts w:ascii="Arial" w:hAnsi="Arial" w:cs="Arial"/>
          <w:color w:val="000000"/>
        </w:rPr>
        <w:t>unless the request is manifestly unfounded or excessive</w:t>
      </w:r>
      <w:r>
        <w:rPr>
          <w:rFonts w:ascii="Arial" w:hAnsi="Arial" w:cs="Arial"/>
          <w:color w:val="000000"/>
        </w:rPr>
        <w:t>.  Y</w:t>
      </w:r>
      <w:r w:rsidRPr="006E2553">
        <w:rPr>
          <w:rFonts w:ascii="Arial" w:hAnsi="Arial" w:cs="Arial"/>
          <w:color w:val="000000"/>
        </w:rPr>
        <w:t>ou may charge a “reasonable fee” for the administrative costs of complying with the request.</w:t>
      </w:r>
    </w:p>
    <w:p w:rsidR="006632A4" w:rsidRDefault="00BA7FD4" w:rsidP="006632A4">
      <w:pPr>
        <w:pStyle w:val="NormalWeb"/>
        <w:shd w:val="clear" w:color="auto" w:fill="FFFFFF"/>
        <w:spacing w:before="0" w:beforeAutospacing="0" w:after="240" w:afterAutospacing="0"/>
        <w:rPr>
          <w:rFonts w:ascii="Verdana" w:hAnsi="Verdana" w:cs="Verdana"/>
          <w:color w:val="000000"/>
        </w:rPr>
      </w:pPr>
      <w:r>
        <w:rPr>
          <w:rFonts w:ascii="Arial" w:hAnsi="Arial" w:cs="Arial"/>
          <w:color w:val="000000"/>
        </w:rPr>
        <w:t>The School</w:t>
      </w:r>
      <w:r w:rsidR="006632A4" w:rsidRPr="006E2553">
        <w:rPr>
          <w:rFonts w:ascii="Arial" w:hAnsi="Arial" w:cs="Arial"/>
          <w:color w:val="000000"/>
        </w:rPr>
        <w:t xml:space="preserve"> can also charge a reasonable fee if an individual requests further copies of their data following a request. You must base the fee on the administrative costs of providing further copies.</w:t>
      </w:r>
    </w:p>
    <w:p w:rsidR="00A71A95" w:rsidRPr="00A71A95" w:rsidRDefault="00531727" w:rsidP="00A71A95">
      <w:pPr>
        <w:autoSpaceDE w:val="0"/>
        <w:autoSpaceDN w:val="0"/>
        <w:adjustRightInd w:val="0"/>
        <w:rPr>
          <w:rFonts w:ascii="ArialMT" w:hAnsi="ArialMT" w:cs="ArialMT"/>
          <w:b/>
          <w:color w:val="000000"/>
        </w:rPr>
      </w:pPr>
      <w:r>
        <w:rPr>
          <w:rFonts w:ascii="ArialMT" w:hAnsi="ArialMT" w:cs="ArialMT"/>
          <w:b/>
          <w:color w:val="000000"/>
        </w:rPr>
        <w:t>Under the Education Regulations</w:t>
      </w:r>
      <w:r w:rsidR="00A71A95" w:rsidRPr="00A71A95">
        <w:rPr>
          <w:rFonts w:ascii="ArialMT" w:hAnsi="ArialMT" w:cs="ArialMT"/>
          <w:b/>
          <w:color w:val="000000"/>
        </w:rPr>
        <w:t xml:space="preserve"> </w:t>
      </w:r>
    </w:p>
    <w:p w:rsidR="003C5989" w:rsidRDefault="003C5989" w:rsidP="00A71A95">
      <w:pPr>
        <w:autoSpaceDE w:val="0"/>
        <w:autoSpaceDN w:val="0"/>
        <w:adjustRightInd w:val="0"/>
        <w:rPr>
          <w:rFonts w:ascii="ArialMT" w:hAnsi="ArialMT" w:cs="ArialMT"/>
          <w:color w:val="000000"/>
        </w:rPr>
      </w:pPr>
      <w:r>
        <w:rPr>
          <w:rFonts w:ascii="ArialMT" w:hAnsi="ArialMT" w:cs="ArialMT"/>
          <w:color w:val="000000"/>
        </w:rPr>
        <w:t xml:space="preserve">The school may make a charge </w:t>
      </w:r>
      <w:r w:rsidR="00A71A95">
        <w:rPr>
          <w:rFonts w:ascii="ArialMT" w:hAnsi="ArialMT" w:cs="ArialMT"/>
          <w:color w:val="000000"/>
        </w:rPr>
        <w:t xml:space="preserve">if the information requested relates to the educational </w:t>
      </w:r>
      <w:proofErr w:type="gramStart"/>
      <w:r w:rsidR="00A71A95">
        <w:rPr>
          <w:rFonts w:ascii="ArialMT" w:hAnsi="ArialMT" w:cs="ArialMT"/>
          <w:color w:val="000000"/>
        </w:rPr>
        <w:t>record,</w:t>
      </w:r>
      <w:proofErr w:type="gramEnd"/>
      <w:r w:rsidR="00A71A95">
        <w:rPr>
          <w:rFonts w:ascii="ArialMT" w:hAnsi="ArialMT" w:cs="ArialMT"/>
          <w:color w:val="000000"/>
        </w:rPr>
        <w:t xml:space="preserve"> the amount charged will depend upon the number of pages provided.  </w:t>
      </w:r>
      <w:r w:rsidR="00DE3613">
        <w:rPr>
          <w:rFonts w:ascii="ArialMT" w:hAnsi="ArialMT" w:cs="ArialMT"/>
          <w:color w:val="000000"/>
        </w:rPr>
        <w:t xml:space="preserve">The fees work on a </w:t>
      </w:r>
      <w:r w:rsidR="00C240F7">
        <w:rPr>
          <w:rFonts w:ascii="ArialMT" w:hAnsi="ArialMT" w:cs="ArialMT"/>
          <w:color w:val="000000"/>
        </w:rPr>
        <w:t xml:space="preserve">sliding </w:t>
      </w:r>
      <w:r w:rsidR="00DE3613">
        <w:rPr>
          <w:rFonts w:ascii="ArialMT" w:hAnsi="ArialMT" w:cs="ArialMT"/>
          <w:color w:val="000000"/>
        </w:rPr>
        <w:t>scale basis as below.</w:t>
      </w:r>
    </w:p>
    <w:p w:rsidR="00DE3613" w:rsidRDefault="00DE3613" w:rsidP="00DE3613">
      <w:pPr>
        <w:autoSpaceDE w:val="0"/>
        <w:autoSpaceDN w:val="0"/>
        <w:adjustRightInd w:val="0"/>
        <w:rPr>
          <w:rFonts w:ascii="ArialMT" w:hAnsi="ArialMT" w:cs="ArialMT"/>
          <w:color w:val="000000"/>
        </w:rPr>
      </w:pPr>
    </w:p>
    <w:tbl>
      <w:tblPr>
        <w:tblW w:w="0" w:type="auto"/>
        <w:tblInd w:w="529" w:type="dxa"/>
        <w:tblLayout w:type="fixed"/>
        <w:tblCellMar>
          <w:left w:w="0" w:type="dxa"/>
          <w:right w:w="0" w:type="dxa"/>
        </w:tblCellMar>
        <w:tblLook w:val="0000" w:firstRow="0" w:lastRow="0" w:firstColumn="0" w:lastColumn="0" w:noHBand="0" w:noVBand="0"/>
      </w:tblPr>
      <w:tblGrid>
        <w:gridCol w:w="1487"/>
        <w:gridCol w:w="1876"/>
      </w:tblGrid>
      <w:tr w:rsidR="00DE3613">
        <w:trPr>
          <w:trHeight w:hRule="exact" w:val="520"/>
        </w:trPr>
        <w:tc>
          <w:tcPr>
            <w:tcW w:w="1487" w:type="dxa"/>
            <w:tcBorders>
              <w:top w:val="nil"/>
              <w:left w:val="nil"/>
              <w:bottom w:val="single" w:sz="4" w:space="0" w:color="000000"/>
              <w:right w:val="single" w:sz="4" w:space="0" w:color="000000"/>
            </w:tcBorders>
          </w:tcPr>
          <w:p w:rsidR="00DE3613" w:rsidRDefault="00DE3613">
            <w:pPr>
              <w:autoSpaceDE w:val="0"/>
              <w:autoSpaceDN w:val="0"/>
              <w:adjustRightInd w:val="0"/>
              <w:spacing w:line="237" w:lineRule="exact"/>
              <w:ind w:left="335" w:right="-20"/>
              <w:rPr>
                <w:rFonts w:cs="Arial"/>
              </w:rPr>
            </w:pPr>
            <w:r>
              <w:rPr>
                <w:rFonts w:cs="Arial"/>
                <w:b/>
                <w:bCs/>
              </w:rPr>
              <w:t>Number</w:t>
            </w:r>
          </w:p>
          <w:p w:rsidR="00DE3613" w:rsidRDefault="00DE3613">
            <w:pPr>
              <w:autoSpaceDE w:val="0"/>
              <w:autoSpaceDN w:val="0"/>
              <w:adjustRightInd w:val="0"/>
              <w:ind w:left="335" w:right="-20"/>
              <w:rPr>
                <w:rFonts w:ascii="Times New Roman" w:hAnsi="Times New Roman"/>
              </w:rPr>
            </w:pPr>
            <w:r>
              <w:rPr>
                <w:rFonts w:cs="Arial"/>
                <w:b/>
                <w:bCs/>
              </w:rPr>
              <w:t>of pages</w:t>
            </w:r>
          </w:p>
        </w:tc>
        <w:tc>
          <w:tcPr>
            <w:tcW w:w="1876" w:type="dxa"/>
            <w:tcBorders>
              <w:top w:val="nil"/>
              <w:left w:val="single" w:sz="4" w:space="0" w:color="000000"/>
              <w:bottom w:val="single" w:sz="4" w:space="0" w:color="000000"/>
              <w:right w:val="nil"/>
            </w:tcBorders>
          </w:tcPr>
          <w:p w:rsidR="00DE3613" w:rsidRDefault="00DE3613">
            <w:pPr>
              <w:autoSpaceDE w:val="0"/>
              <w:autoSpaceDN w:val="0"/>
              <w:adjustRightInd w:val="0"/>
              <w:spacing w:line="237" w:lineRule="exact"/>
              <w:ind w:left="462" w:right="-20"/>
              <w:rPr>
                <w:rFonts w:cs="Arial"/>
              </w:rPr>
            </w:pPr>
            <w:r>
              <w:rPr>
                <w:rFonts w:cs="Arial"/>
                <w:b/>
                <w:bCs/>
              </w:rPr>
              <w:t>Maximum</w:t>
            </w:r>
          </w:p>
          <w:p w:rsidR="00DE3613" w:rsidRDefault="00BF2E2B">
            <w:pPr>
              <w:autoSpaceDE w:val="0"/>
              <w:autoSpaceDN w:val="0"/>
              <w:adjustRightInd w:val="0"/>
              <w:ind w:left="462" w:right="-20"/>
              <w:rPr>
                <w:rFonts w:ascii="Times New Roman" w:hAnsi="Times New Roman"/>
              </w:rPr>
            </w:pPr>
            <w:r>
              <w:rPr>
                <w:rFonts w:cs="Arial"/>
                <w:b/>
                <w:bCs/>
              </w:rPr>
              <w:t>F</w:t>
            </w:r>
            <w:r w:rsidR="00DE3613">
              <w:rPr>
                <w:rFonts w:cs="Arial"/>
                <w:b/>
                <w:bCs/>
              </w:rPr>
              <w:t>ee</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1-19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£1</w:t>
            </w:r>
          </w:p>
        </w:tc>
      </w:tr>
      <w:tr w:rsidR="00DE3613">
        <w:trPr>
          <w:trHeight w:hRule="exact" w:val="287"/>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20-29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£2</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30-39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£3</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40-49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£4</w:t>
            </w:r>
          </w:p>
        </w:tc>
      </w:tr>
      <w:tr w:rsidR="00DE3613">
        <w:trPr>
          <w:trHeight w:hRule="exact" w:val="287"/>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50-59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£5</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60-69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£6</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70-79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£7</w:t>
            </w:r>
          </w:p>
        </w:tc>
      </w:tr>
      <w:tr w:rsidR="00DE3613">
        <w:trPr>
          <w:trHeight w:hRule="exact" w:val="287"/>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80-89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£8</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90-99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£9</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100-149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£10</w:t>
            </w:r>
          </w:p>
        </w:tc>
      </w:tr>
      <w:tr w:rsidR="00DE3613">
        <w:trPr>
          <w:trHeight w:hRule="exact" w:val="287"/>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150-199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£15</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200-249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£20</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250-299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£25</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300-349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£30</w:t>
            </w:r>
          </w:p>
        </w:tc>
      </w:tr>
      <w:tr w:rsidR="00DE3613">
        <w:trPr>
          <w:trHeight w:hRule="exact" w:val="287"/>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350-399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£35</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400-449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£40</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450-499</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£45</w:t>
            </w:r>
          </w:p>
        </w:tc>
      </w:tr>
      <w:tr w:rsidR="00DE3613">
        <w:trPr>
          <w:trHeight w:hRule="exact" w:val="286"/>
        </w:trPr>
        <w:tc>
          <w:tcPr>
            <w:tcW w:w="1487" w:type="dxa"/>
            <w:tcBorders>
              <w:top w:val="single" w:sz="4" w:space="0" w:color="000000"/>
              <w:left w:val="nil"/>
              <w:bottom w:val="single" w:sz="4" w:space="0" w:color="000000"/>
              <w:right w:val="single" w:sz="4" w:space="0" w:color="000000"/>
            </w:tcBorders>
          </w:tcPr>
          <w:p w:rsidR="00DE3613" w:rsidRDefault="00DE3613">
            <w:pPr>
              <w:autoSpaceDE w:val="0"/>
              <w:autoSpaceDN w:val="0"/>
              <w:adjustRightInd w:val="0"/>
              <w:spacing w:line="272" w:lineRule="exact"/>
              <w:ind w:left="335" w:right="-20"/>
              <w:rPr>
                <w:rFonts w:ascii="Times New Roman" w:hAnsi="Times New Roman"/>
              </w:rPr>
            </w:pPr>
            <w:r>
              <w:rPr>
                <w:rFonts w:cs="Arial"/>
              </w:rPr>
              <w:t>500+</w:t>
            </w:r>
          </w:p>
        </w:tc>
        <w:tc>
          <w:tcPr>
            <w:tcW w:w="1876" w:type="dxa"/>
            <w:tcBorders>
              <w:top w:val="single" w:sz="4" w:space="0" w:color="000000"/>
              <w:left w:val="single" w:sz="4" w:space="0" w:color="000000"/>
              <w:bottom w:val="single" w:sz="4" w:space="0" w:color="000000"/>
              <w:right w:val="nil"/>
            </w:tcBorders>
          </w:tcPr>
          <w:p w:rsidR="00DE3613" w:rsidRDefault="00DE3613">
            <w:pPr>
              <w:autoSpaceDE w:val="0"/>
              <w:autoSpaceDN w:val="0"/>
              <w:adjustRightInd w:val="0"/>
              <w:spacing w:line="272" w:lineRule="exact"/>
              <w:ind w:left="462" w:right="-20"/>
              <w:rPr>
                <w:rFonts w:ascii="Times New Roman" w:hAnsi="Times New Roman"/>
              </w:rPr>
            </w:pPr>
            <w:r>
              <w:rPr>
                <w:rFonts w:cs="Arial"/>
              </w:rPr>
              <w:t>£50</w:t>
            </w:r>
          </w:p>
        </w:tc>
      </w:tr>
    </w:tbl>
    <w:p w:rsidR="003C5989" w:rsidRDefault="003C5989" w:rsidP="003C5989">
      <w:pPr>
        <w:autoSpaceDE w:val="0"/>
        <w:autoSpaceDN w:val="0"/>
        <w:adjustRightInd w:val="0"/>
        <w:rPr>
          <w:rFonts w:ascii="ArialMT" w:hAnsi="ArialMT" w:cs="ArialMT"/>
          <w:color w:val="000000"/>
        </w:rPr>
      </w:pPr>
    </w:p>
    <w:p w:rsidR="00B90202" w:rsidRDefault="00033BB0" w:rsidP="003C5989">
      <w:pPr>
        <w:autoSpaceDE w:val="0"/>
        <w:autoSpaceDN w:val="0"/>
        <w:adjustRightInd w:val="0"/>
        <w:rPr>
          <w:rFonts w:ascii="ArialMT" w:hAnsi="ArialMT" w:cs="ArialMT"/>
          <w:b/>
          <w:color w:val="000000"/>
        </w:rPr>
      </w:pPr>
      <w:r>
        <w:rPr>
          <w:rFonts w:ascii="ArialMT" w:hAnsi="ArialMT" w:cs="ArialMT"/>
          <w:b/>
          <w:color w:val="000000"/>
        </w:rPr>
        <w:t>6. Exemptions</w:t>
      </w:r>
    </w:p>
    <w:p w:rsidR="00B90202" w:rsidRDefault="00D063FB" w:rsidP="00B90202">
      <w:pPr>
        <w:autoSpaceDE w:val="0"/>
        <w:autoSpaceDN w:val="0"/>
        <w:adjustRightInd w:val="0"/>
        <w:rPr>
          <w:rFonts w:ascii="ArialMT" w:hAnsi="ArialMT" w:cs="ArialMT"/>
          <w:color w:val="000000"/>
        </w:rPr>
      </w:pPr>
      <w:r>
        <w:rPr>
          <w:rFonts w:ascii="ArialMT" w:hAnsi="ArialMT" w:cs="ArialMT"/>
          <w:color w:val="000000"/>
        </w:rPr>
        <w:t>There are some</w:t>
      </w:r>
      <w:r w:rsidR="00B90202" w:rsidRPr="00B90202">
        <w:rPr>
          <w:rFonts w:ascii="ArialMT" w:hAnsi="ArialMT" w:cs="ArialMT"/>
          <w:color w:val="000000"/>
        </w:rPr>
        <w:t xml:space="preserve"> exemptions to the right to subject access </w:t>
      </w:r>
      <w:r>
        <w:rPr>
          <w:rFonts w:ascii="ArialMT" w:hAnsi="ArialMT" w:cs="ArialMT"/>
          <w:color w:val="000000"/>
        </w:rPr>
        <w:t xml:space="preserve">that </w:t>
      </w:r>
      <w:r w:rsidR="00B90202" w:rsidRPr="00B90202">
        <w:rPr>
          <w:rFonts w:ascii="ArialMT" w:hAnsi="ArialMT" w:cs="ArialMT"/>
          <w:color w:val="000000"/>
        </w:rPr>
        <w:t>apply in certain circumstances or to certain types of personal information.</w:t>
      </w:r>
      <w:r w:rsidR="00B90202">
        <w:rPr>
          <w:rFonts w:ascii="ArialMT" w:hAnsi="ArialMT" w:cs="ArialMT"/>
          <w:color w:val="000000"/>
        </w:rPr>
        <w:t xml:space="preserve">  </w:t>
      </w:r>
      <w:r w:rsidR="006E2553">
        <w:rPr>
          <w:rFonts w:ascii="Arial-BoldMT" w:hAnsi="Arial-BoldMT" w:cs="Arial-BoldMT"/>
          <w:b/>
          <w:bCs/>
          <w:color w:val="000000"/>
        </w:rPr>
        <w:t>This means</w:t>
      </w:r>
      <w:r w:rsidR="00B90202">
        <w:rPr>
          <w:rFonts w:ascii="Arial-BoldMT" w:hAnsi="Arial-BoldMT" w:cs="Arial-BoldMT"/>
          <w:b/>
          <w:bCs/>
          <w:color w:val="000000"/>
        </w:rPr>
        <w:t xml:space="preserve"> all information must be reviewed prior to disclosure</w:t>
      </w:r>
      <w:r w:rsidR="00B90202">
        <w:rPr>
          <w:rFonts w:ascii="ArialMT" w:hAnsi="ArialMT" w:cs="ArialMT"/>
          <w:color w:val="000000"/>
        </w:rPr>
        <w:t>.</w:t>
      </w:r>
    </w:p>
    <w:p w:rsidR="003943AE" w:rsidRDefault="003943AE" w:rsidP="00B90202">
      <w:pPr>
        <w:autoSpaceDE w:val="0"/>
        <w:autoSpaceDN w:val="0"/>
        <w:adjustRightInd w:val="0"/>
        <w:rPr>
          <w:rFonts w:ascii="ArialMT" w:hAnsi="ArialMT" w:cs="ArialMT"/>
          <w:color w:val="000000"/>
        </w:rPr>
      </w:pPr>
    </w:p>
    <w:p w:rsidR="003C5989" w:rsidRDefault="003943AE" w:rsidP="003943AE">
      <w:pPr>
        <w:overflowPunct w:val="0"/>
        <w:autoSpaceDE w:val="0"/>
        <w:autoSpaceDN w:val="0"/>
        <w:adjustRightInd w:val="0"/>
        <w:jc w:val="both"/>
        <w:textAlignment w:val="baseline"/>
        <w:rPr>
          <w:rFonts w:ascii="ArialMT" w:hAnsi="ArialMT" w:cs="ArialMT"/>
          <w:color w:val="000000"/>
        </w:rPr>
      </w:pPr>
      <w:r>
        <w:rPr>
          <w:rFonts w:cs="Arial"/>
          <w:lang w:eastAsia="en-US"/>
        </w:rPr>
        <w:t>Included below are some of the</w:t>
      </w:r>
      <w:r w:rsidRPr="003943AE">
        <w:rPr>
          <w:rFonts w:cs="Arial"/>
          <w:lang w:eastAsia="en-US"/>
        </w:rPr>
        <w:t xml:space="preserve"> exemptions</w:t>
      </w:r>
      <w:r>
        <w:rPr>
          <w:rFonts w:cs="Arial"/>
          <w:lang w:eastAsia="en-US"/>
        </w:rPr>
        <w:t xml:space="preserve"> that apply to a school,</w:t>
      </w:r>
      <w:r w:rsidRPr="003943AE">
        <w:rPr>
          <w:rFonts w:cs="Arial"/>
          <w:lang w:eastAsia="en-US"/>
        </w:rPr>
        <w:t xml:space="preserve"> this is not an exhaustive list; </w:t>
      </w:r>
    </w:p>
    <w:p w:rsidR="006325F0" w:rsidRDefault="006325F0" w:rsidP="003C5989">
      <w:pPr>
        <w:autoSpaceDE w:val="0"/>
        <w:autoSpaceDN w:val="0"/>
        <w:adjustRightInd w:val="0"/>
        <w:rPr>
          <w:rFonts w:ascii="ArialMT" w:hAnsi="ArialMT" w:cs="ArialMT"/>
          <w:color w:val="000000"/>
        </w:rPr>
      </w:pPr>
    </w:p>
    <w:p w:rsidR="00DE3613" w:rsidRDefault="006325F0" w:rsidP="004B4C85">
      <w:pPr>
        <w:tabs>
          <w:tab w:val="left" w:pos="1440"/>
        </w:tabs>
        <w:overflowPunct w:val="0"/>
        <w:autoSpaceDE w:val="0"/>
        <w:autoSpaceDN w:val="0"/>
        <w:adjustRightInd w:val="0"/>
        <w:jc w:val="both"/>
        <w:textAlignment w:val="baseline"/>
        <w:rPr>
          <w:rFonts w:ascii="ArialMT" w:hAnsi="ArialMT" w:cs="ArialMT"/>
          <w:color w:val="000000"/>
        </w:rPr>
      </w:pPr>
      <w:r w:rsidRPr="006325F0">
        <w:rPr>
          <w:rFonts w:cs="Arial"/>
          <w:b/>
          <w:lang w:eastAsia="en-US"/>
        </w:rPr>
        <w:t>Third Party information</w:t>
      </w:r>
      <w:r w:rsidRPr="006325F0">
        <w:rPr>
          <w:rFonts w:cs="Arial"/>
          <w:lang w:eastAsia="en-US"/>
        </w:rPr>
        <w:t xml:space="preserve">: If the information held identifies other people, then it will sometimes be right to remove or edit that information so as not to reveal </w:t>
      </w:r>
      <w:r w:rsidRPr="006325F0">
        <w:rPr>
          <w:rFonts w:cs="Arial"/>
          <w:lang w:eastAsia="en-US"/>
        </w:rPr>
        <w:lastRenderedPageBreak/>
        <w:t xml:space="preserve">the identity of the third parties, unless the third parties have agreed to the disclosure. (This is less likely to apply to information identifying </w:t>
      </w:r>
      <w:r w:rsidR="004B4C85">
        <w:rPr>
          <w:rFonts w:cs="Arial"/>
          <w:lang w:eastAsia="en-US"/>
        </w:rPr>
        <w:t>teachers</w:t>
      </w:r>
      <w:r w:rsidRPr="006325F0">
        <w:rPr>
          <w:rFonts w:cs="Arial"/>
          <w:lang w:eastAsia="en-US"/>
        </w:rPr>
        <w:t xml:space="preserve"> or other professionals unless to disclose it would cause them serious harm.) Reasonable steps must be taken to obtain third party consent to disclosure. If the third parties cannot be located or do not respond it may still be reasonable to consider disclosure if the information is of importance to the data subject. </w:t>
      </w:r>
      <w:r w:rsidR="004B4C85">
        <w:rPr>
          <w:rFonts w:cs="Arial"/>
          <w:lang w:eastAsia="en-US"/>
        </w:rPr>
        <w:t xml:space="preserve"> </w:t>
      </w:r>
      <w:r>
        <w:rPr>
          <w:rFonts w:ascii="ArialMT" w:hAnsi="ArialMT" w:cs="ArialMT"/>
          <w:color w:val="000000"/>
        </w:rPr>
        <w:t>The school must still</w:t>
      </w:r>
      <w:r w:rsidR="003C5989">
        <w:rPr>
          <w:rFonts w:ascii="ArialMT" w:hAnsi="ArialMT" w:cs="ArialMT"/>
          <w:color w:val="000000"/>
        </w:rPr>
        <w:t xml:space="preserve"> adhere to the </w:t>
      </w:r>
      <w:r w:rsidR="006E2553" w:rsidRPr="006E2553">
        <w:rPr>
          <w:rFonts w:ascii="ArialMT" w:hAnsi="ArialMT" w:cs="ArialMT"/>
          <w:b/>
          <w:color w:val="000000"/>
        </w:rPr>
        <w:t>one month</w:t>
      </w:r>
      <w:r w:rsidR="003C5989">
        <w:rPr>
          <w:rFonts w:ascii="ArialMT" w:hAnsi="ArialMT" w:cs="ArialMT"/>
          <w:color w:val="000000"/>
        </w:rPr>
        <w:t xml:space="preserve"> statutory timescale.</w:t>
      </w:r>
    </w:p>
    <w:p w:rsidR="00531727" w:rsidRDefault="00531727" w:rsidP="004B4C85">
      <w:pPr>
        <w:tabs>
          <w:tab w:val="left" w:pos="1440"/>
        </w:tabs>
        <w:overflowPunct w:val="0"/>
        <w:autoSpaceDE w:val="0"/>
        <w:autoSpaceDN w:val="0"/>
        <w:adjustRightInd w:val="0"/>
        <w:jc w:val="both"/>
        <w:textAlignment w:val="baseline"/>
        <w:rPr>
          <w:rFonts w:ascii="ArialMT" w:hAnsi="ArialMT" w:cs="ArialMT"/>
          <w:color w:val="000000"/>
        </w:rPr>
      </w:pPr>
    </w:p>
    <w:p w:rsidR="00531727" w:rsidRDefault="00531727" w:rsidP="00531727">
      <w:pPr>
        <w:autoSpaceDE w:val="0"/>
        <w:autoSpaceDN w:val="0"/>
        <w:adjustRightInd w:val="0"/>
        <w:rPr>
          <w:rFonts w:ascii="ArialMT" w:hAnsi="ArialMT" w:cs="ArialMT"/>
          <w:color w:val="000000"/>
        </w:rPr>
      </w:pPr>
      <w:r>
        <w:rPr>
          <w:rFonts w:ascii="ArialMT" w:hAnsi="ArialMT" w:cs="ArialMT"/>
          <w:color w:val="000000"/>
        </w:rPr>
        <w:t>Where redaction (information edited/removed) has taken place then a full copy of the information provided should be retained in order to establish, if a complaint is made, what was redacted and why.</w:t>
      </w:r>
    </w:p>
    <w:p w:rsidR="00531727" w:rsidRDefault="00531727" w:rsidP="00531727">
      <w:pPr>
        <w:autoSpaceDE w:val="0"/>
        <w:autoSpaceDN w:val="0"/>
        <w:adjustRightInd w:val="0"/>
        <w:rPr>
          <w:rFonts w:ascii="ArialMT" w:hAnsi="ArialMT" w:cs="ArialMT"/>
          <w:color w:val="000000"/>
        </w:rPr>
      </w:pPr>
    </w:p>
    <w:p w:rsidR="00531727" w:rsidRDefault="00531727" w:rsidP="00531727">
      <w:pPr>
        <w:autoSpaceDE w:val="0"/>
        <w:autoSpaceDN w:val="0"/>
        <w:adjustRightInd w:val="0"/>
        <w:rPr>
          <w:rFonts w:ascii="ArialMT" w:hAnsi="ArialMT" w:cs="ArialMT"/>
          <w:color w:val="000000"/>
        </w:rPr>
      </w:pPr>
      <w:r>
        <w:rPr>
          <w:rFonts w:ascii="ArialMT" w:hAnsi="ArialMT" w:cs="ArialMT"/>
          <w:color w:val="000000"/>
        </w:rPr>
        <w:t>Information disclosed should be clear, meaning any codes or technical terms will need to be clarified and explained. If information contained within the</w:t>
      </w:r>
    </w:p>
    <w:p w:rsidR="00531727" w:rsidRDefault="00531727" w:rsidP="00531727">
      <w:pPr>
        <w:autoSpaceDE w:val="0"/>
        <w:autoSpaceDN w:val="0"/>
        <w:adjustRightInd w:val="0"/>
        <w:rPr>
          <w:rFonts w:ascii="ArialMT" w:hAnsi="ArialMT" w:cs="ArialMT"/>
          <w:color w:val="000000"/>
        </w:rPr>
      </w:pPr>
      <w:proofErr w:type="gramStart"/>
      <w:r>
        <w:rPr>
          <w:rFonts w:ascii="ArialMT" w:hAnsi="ArialMT" w:cs="ArialMT"/>
          <w:color w:val="000000"/>
        </w:rPr>
        <w:t>disclosure</w:t>
      </w:r>
      <w:proofErr w:type="gramEnd"/>
      <w:r>
        <w:rPr>
          <w:rFonts w:ascii="ArialMT" w:hAnsi="ArialMT" w:cs="ArialMT"/>
          <w:color w:val="000000"/>
        </w:rPr>
        <w:t xml:space="preserve"> is difficult to read or illegible, then it should be retyped.</w:t>
      </w:r>
    </w:p>
    <w:p w:rsidR="003C5989" w:rsidRDefault="003C5989" w:rsidP="003C5989">
      <w:pPr>
        <w:autoSpaceDE w:val="0"/>
        <w:autoSpaceDN w:val="0"/>
        <w:adjustRightInd w:val="0"/>
        <w:rPr>
          <w:rFonts w:ascii="ArialMT" w:hAnsi="ArialMT" w:cs="ArialMT"/>
          <w:color w:val="000000"/>
        </w:rPr>
      </w:pPr>
    </w:p>
    <w:p w:rsidR="003C5989" w:rsidRDefault="003943AE" w:rsidP="003C5989">
      <w:pPr>
        <w:autoSpaceDE w:val="0"/>
        <w:autoSpaceDN w:val="0"/>
        <w:adjustRightInd w:val="0"/>
        <w:rPr>
          <w:rFonts w:ascii="ArialMT" w:hAnsi="ArialMT" w:cs="ArialMT"/>
          <w:color w:val="000000"/>
        </w:rPr>
      </w:pPr>
      <w:r>
        <w:rPr>
          <w:rFonts w:cs="Arial"/>
          <w:b/>
        </w:rPr>
        <w:t>Information likely to cause serious harm or distress</w:t>
      </w:r>
      <w:r>
        <w:rPr>
          <w:rFonts w:cs="Arial"/>
        </w:rPr>
        <w:t xml:space="preserve">: </w:t>
      </w:r>
      <w:r w:rsidR="003C5989">
        <w:rPr>
          <w:rFonts w:ascii="ArialMT" w:hAnsi="ArialMT" w:cs="ArialMT"/>
          <w:color w:val="000000"/>
        </w:rPr>
        <w:t>Any information which may cause serious harm to the physical or mental</w:t>
      </w:r>
    </w:p>
    <w:p w:rsidR="003C5989" w:rsidRDefault="003C5989" w:rsidP="003C5989">
      <w:pPr>
        <w:autoSpaceDE w:val="0"/>
        <w:autoSpaceDN w:val="0"/>
        <w:adjustRightInd w:val="0"/>
        <w:rPr>
          <w:rFonts w:ascii="ArialMT" w:hAnsi="ArialMT" w:cs="ArialMT"/>
          <w:color w:val="000000"/>
        </w:rPr>
      </w:pPr>
      <w:proofErr w:type="gramStart"/>
      <w:r>
        <w:rPr>
          <w:rFonts w:ascii="ArialMT" w:hAnsi="ArialMT" w:cs="ArialMT"/>
          <w:color w:val="000000"/>
        </w:rPr>
        <w:t>health</w:t>
      </w:r>
      <w:proofErr w:type="gramEnd"/>
      <w:r>
        <w:rPr>
          <w:rFonts w:ascii="ArialMT" w:hAnsi="ArialMT" w:cs="ArialMT"/>
          <w:color w:val="000000"/>
        </w:rPr>
        <w:t xml:space="preserve"> or emotional condition of the pupil or another </w:t>
      </w:r>
      <w:r w:rsidR="00D063FB">
        <w:rPr>
          <w:rFonts w:ascii="ArialMT" w:hAnsi="ArialMT" w:cs="ArialMT"/>
          <w:color w:val="000000"/>
        </w:rPr>
        <w:t xml:space="preserve">individual involved </w:t>
      </w:r>
      <w:r>
        <w:rPr>
          <w:rFonts w:ascii="ArialMT" w:hAnsi="ArialMT" w:cs="ArialMT"/>
          <w:color w:val="000000"/>
        </w:rPr>
        <w:t>should not be disclosed,</w:t>
      </w:r>
      <w:r w:rsidR="00D063FB">
        <w:rPr>
          <w:rFonts w:ascii="ArialMT" w:hAnsi="ArialMT" w:cs="ArialMT"/>
          <w:color w:val="000000"/>
        </w:rPr>
        <w:t xml:space="preserve"> </w:t>
      </w:r>
      <w:r>
        <w:rPr>
          <w:rFonts w:ascii="ArialMT" w:hAnsi="ArialMT" w:cs="ArialMT"/>
          <w:color w:val="000000"/>
        </w:rPr>
        <w:t>nor should information that would reveal that the child is at risk of abuse, or</w:t>
      </w:r>
      <w:r w:rsidR="00D063FB">
        <w:rPr>
          <w:rFonts w:ascii="ArialMT" w:hAnsi="ArialMT" w:cs="ArialMT"/>
          <w:color w:val="000000"/>
        </w:rPr>
        <w:t xml:space="preserve"> </w:t>
      </w:r>
      <w:r>
        <w:rPr>
          <w:rFonts w:ascii="ArialMT" w:hAnsi="ArialMT" w:cs="ArialMT"/>
          <w:color w:val="000000"/>
        </w:rPr>
        <w:t>information relating to court proceedings.</w:t>
      </w:r>
    </w:p>
    <w:p w:rsidR="00033BB0" w:rsidRDefault="00033BB0" w:rsidP="003C5989">
      <w:pPr>
        <w:autoSpaceDE w:val="0"/>
        <w:autoSpaceDN w:val="0"/>
        <w:adjustRightInd w:val="0"/>
        <w:rPr>
          <w:rFonts w:ascii="ArialMT" w:hAnsi="ArialMT" w:cs="ArialMT"/>
          <w:color w:val="000000"/>
        </w:rPr>
      </w:pPr>
    </w:p>
    <w:p w:rsidR="003943AE" w:rsidRPr="003943AE" w:rsidRDefault="003943AE" w:rsidP="003943AE">
      <w:pPr>
        <w:tabs>
          <w:tab w:val="left" w:pos="1440"/>
        </w:tabs>
        <w:overflowPunct w:val="0"/>
        <w:autoSpaceDE w:val="0"/>
        <w:autoSpaceDN w:val="0"/>
        <w:adjustRightInd w:val="0"/>
        <w:jc w:val="both"/>
        <w:textAlignment w:val="baseline"/>
        <w:rPr>
          <w:rFonts w:cs="Arial"/>
          <w:lang w:eastAsia="en-US"/>
        </w:rPr>
      </w:pPr>
      <w:r w:rsidRPr="003943AE">
        <w:rPr>
          <w:rFonts w:cs="Arial"/>
          <w:b/>
          <w:lang w:eastAsia="en-US"/>
        </w:rPr>
        <w:t>Crime and Disorder</w:t>
      </w:r>
      <w:r w:rsidRPr="003943AE">
        <w:rPr>
          <w:rFonts w:cs="Arial"/>
          <w:lang w:eastAsia="en-US"/>
        </w:rPr>
        <w:t xml:space="preserve">: If the disclosure of the information is likely to hinder the prevention or detection of a crime, the prosecution or apprehension of offenders, or the assessment or collection of any tax or duty, the information should be withheld. </w:t>
      </w:r>
    </w:p>
    <w:p w:rsidR="00033BB0" w:rsidRDefault="00033BB0" w:rsidP="003C5989">
      <w:pPr>
        <w:autoSpaceDE w:val="0"/>
        <w:autoSpaceDN w:val="0"/>
        <w:adjustRightInd w:val="0"/>
        <w:rPr>
          <w:rFonts w:ascii="ArialMT" w:hAnsi="ArialMT" w:cs="ArialMT"/>
          <w:color w:val="000000"/>
        </w:rPr>
      </w:pPr>
    </w:p>
    <w:p w:rsidR="003943AE" w:rsidRDefault="003943AE" w:rsidP="003943AE">
      <w:pPr>
        <w:tabs>
          <w:tab w:val="left" w:pos="1440"/>
        </w:tabs>
        <w:overflowPunct w:val="0"/>
        <w:autoSpaceDE w:val="0"/>
        <w:autoSpaceDN w:val="0"/>
        <w:adjustRightInd w:val="0"/>
        <w:jc w:val="both"/>
        <w:textAlignment w:val="baseline"/>
        <w:rPr>
          <w:rFonts w:cs="Arial"/>
          <w:lang w:eastAsia="en-US"/>
        </w:rPr>
      </w:pPr>
      <w:r w:rsidRPr="003943AE">
        <w:rPr>
          <w:rFonts w:cs="Arial"/>
          <w:b/>
          <w:lang w:eastAsia="en-US"/>
        </w:rPr>
        <w:t>Legal professional privilege</w:t>
      </w:r>
      <w:r w:rsidRPr="003943AE">
        <w:rPr>
          <w:rFonts w:cs="Arial"/>
          <w:lang w:eastAsia="en-US"/>
        </w:rPr>
        <w:t>: If the information is general legal advice or advice which relates to anticipated or pending legal proceedings it is subject to ‘legal professional privilege’. The disclosure of any communication to or from a legal advisor to another person (including the data subject) should not take place unless this has first been discussed with the legal advisor concerned.</w:t>
      </w:r>
    </w:p>
    <w:p w:rsidR="003943AE" w:rsidRDefault="003943AE" w:rsidP="003943AE">
      <w:pPr>
        <w:tabs>
          <w:tab w:val="left" w:pos="1440"/>
        </w:tabs>
        <w:overflowPunct w:val="0"/>
        <w:autoSpaceDE w:val="0"/>
        <w:autoSpaceDN w:val="0"/>
        <w:adjustRightInd w:val="0"/>
        <w:jc w:val="both"/>
        <w:textAlignment w:val="baseline"/>
        <w:rPr>
          <w:rFonts w:cs="Arial"/>
          <w:lang w:eastAsia="en-US"/>
        </w:rPr>
      </w:pPr>
    </w:p>
    <w:p w:rsidR="003943AE" w:rsidRPr="003943AE" w:rsidRDefault="003943AE" w:rsidP="003943AE">
      <w:pPr>
        <w:overflowPunct w:val="0"/>
        <w:autoSpaceDE w:val="0"/>
        <w:autoSpaceDN w:val="0"/>
        <w:adjustRightInd w:val="0"/>
        <w:jc w:val="both"/>
        <w:textAlignment w:val="baseline"/>
        <w:rPr>
          <w:rFonts w:cs="Arial"/>
          <w:lang w:eastAsia="en-US"/>
        </w:rPr>
      </w:pPr>
      <w:r w:rsidRPr="003943AE">
        <w:rPr>
          <w:rFonts w:cs="Arial"/>
          <w:b/>
          <w:lang w:eastAsia="en-US"/>
        </w:rPr>
        <w:t>References</w:t>
      </w:r>
      <w:r w:rsidRPr="003943AE">
        <w:rPr>
          <w:rFonts w:cs="Arial"/>
          <w:lang w:eastAsia="en-US"/>
        </w:rPr>
        <w:t xml:space="preserve">: </w:t>
      </w:r>
      <w:r w:rsidR="002B7623">
        <w:rPr>
          <w:rFonts w:cs="Arial"/>
          <w:lang w:eastAsia="en-US"/>
        </w:rPr>
        <w:t xml:space="preserve">The right of access does not apply to references given (or to be given) in confidence.  </w:t>
      </w:r>
    </w:p>
    <w:p w:rsidR="003943AE" w:rsidRDefault="003943AE" w:rsidP="003C5989">
      <w:pPr>
        <w:autoSpaceDE w:val="0"/>
        <w:autoSpaceDN w:val="0"/>
        <w:adjustRightInd w:val="0"/>
        <w:rPr>
          <w:rFonts w:ascii="ArialMT" w:hAnsi="ArialMT" w:cs="ArialMT"/>
          <w:color w:val="000000"/>
        </w:rPr>
      </w:pPr>
    </w:p>
    <w:p w:rsidR="003943AE" w:rsidRDefault="003943AE" w:rsidP="003943AE">
      <w:pPr>
        <w:pStyle w:val="BodyText"/>
        <w:jc w:val="both"/>
        <w:rPr>
          <w:rFonts w:ascii="Arial" w:hAnsi="Arial" w:cs="Arial"/>
          <w:sz w:val="24"/>
          <w:szCs w:val="24"/>
        </w:rPr>
      </w:pPr>
      <w:r>
        <w:rPr>
          <w:rFonts w:ascii="Arial" w:hAnsi="Arial" w:cs="Arial"/>
          <w:b/>
          <w:sz w:val="24"/>
          <w:szCs w:val="24"/>
        </w:rPr>
        <w:t>Absence of or invalid consent to disclosure</w:t>
      </w:r>
      <w:r>
        <w:rPr>
          <w:rFonts w:ascii="Arial" w:hAnsi="Arial" w:cs="Arial"/>
          <w:sz w:val="24"/>
          <w:szCs w:val="24"/>
        </w:rPr>
        <w:t xml:space="preserve">: If the data subject is considered incapable of giving valid consent to disclosure (i.e. they do not have the capacity to understand the nature/implications of the access request), or if it is suspected that the consent was obtained under duress by someone acting on their behalf, or based on misleading information, then access should be refused. </w:t>
      </w:r>
    </w:p>
    <w:p w:rsidR="003943AE" w:rsidRDefault="003943AE" w:rsidP="003C5989">
      <w:pPr>
        <w:autoSpaceDE w:val="0"/>
        <w:autoSpaceDN w:val="0"/>
        <w:adjustRightInd w:val="0"/>
        <w:rPr>
          <w:rFonts w:ascii="ArialMT" w:hAnsi="ArialMT" w:cs="ArialMT"/>
          <w:color w:val="000000"/>
        </w:rPr>
      </w:pPr>
    </w:p>
    <w:p w:rsidR="003C5989" w:rsidRDefault="00531727" w:rsidP="003C5989">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7. </w:t>
      </w:r>
      <w:r w:rsidR="003C5989">
        <w:rPr>
          <w:rFonts w:ascii="Arial-BoldMT" w:hAnsi="Arial-BoldMT" w:cs="Arial-BoldMT"/>
          <w:b/>
          <w:bCs/>
          <w:color w:val="000000"/>
        </w:rPr>
        <w:t>Complaints</w:t>
      </w:r>
    </w:p>
    <w:p w:rsidR="003C5989" w:rsidRDefault="003C5989" w:rsidP="003C5989">
      <w:pPr>
        <w:autoSpaceDE w:val="0"/>
        <w:autoSpaceDN w:val="0"/>
        <w:adjustRightInd w:val="0"/>
        <w:rPr>
          <w:rFonts w:ascii="ArialMT" w:hAnsi="ArialMT" w:cs="ArialMT"/>
          <w:color w:val="000000"/>
        </w:rPr>
      </w:pPr>
      <w:r>
        <w:rPr>
          <w:rFonts w:ascii="ArialMT" w:hAnsi="ArialMT" w:cs="ArialMT"/>
          <w:color w:val="000000"/>
        </w:rPr>
        <w:t xml:space="preserve">Complaints about the above procedures should be made to the </w:t>
      </w:r>
      <w:r w:rsidR="00C240F7">
        <w:rPr>
          <w:rFonts w:ascii="ArialMT" w:hAnsi="ArialMT" w:cs="ArialMT"/>
          <w:color w:val="000000"/>
        </w:rPr>
        <w:t>Data Protection Officer (DPO)</w:t>
      </w:r>
      <w:r>
        <w:rPr>
          <w:rFonts w:ascii="ArialMT" w:hAnsi="ArialMT" w:cs="ArialMT"/>
          <w:color w:val="000000"/>
        </w:rPr>
        <w:t xml:space="preserve"> who will decide whether it is appropriate for the complaint to be dealt with in accordance with the school’s complaint procedure.</w:t>
      </w:r>
    </w:p>
    <w:p w:rsidR="003C5989" w:rsidRDefault="003C5989" w:rsidP="003C5989">
      <w:pPr>
        <w:autoSpaceDE w:val="0"/>
        <w:autoSpaceDN w:val="0"/>
        <w:adjustRightInd w:val="0"/>
        <w:rPr>
          <w:rFonts w:ascii="ArialMT" w:hAnsi="ArialMT" w:cs="ArialMT"/>
          <w:color w:val="000000"/>
        </w:rPr>
      </w:pPr>
    </w:p>
    <w:p w:rsidR="003C5989" w:rsidRDefault="003C5989" w:rsidP="003C5989">
      <w:pPr>
        <w:autoSpaceDE w:val="0"/>
        <w:autoSpaceDN w:val="0"/>
        <w:adjustRightInd w:val="0"/>
        <w:rPr>
          <w:rFonts w:ascii="ArialMT" w:hAnsi="ArialMT" w:cs="ArialMT"/>
          <w:color w:val="000000"/>
        </w:rPr>
      </w:pPr>
      <w:r>
        <w:rPr>
          <w:rFonts w:ascii="ArialMT" w:hAnsi="ArialMT" w:cs="ArialMT"/>
          <w:color w:val="000000"/>
        </w:rPr>
        <w:t>Complaints which are not appropriate to be dealt with through the school’s complaint procedure can be dealt with by the Information Commissioner. Contact details of both will be provided with the disclosure information.</w:t>
      </w:r>
    </w:p>
    <w:p w:rsidR="00BF2E2B" w:rsidRDefault="00BF2E2B">
      <w:bookmarkStart w:id="0" w:name="_GoBack"/>
      <w:bookmarkEnd w:id="0"/>
    </w:p>
    <w:sectPr w:rsidR="00BF2E2B" w:rsidSect="00EB0F86">
      <w:pgSz w:w="11906" w:h="16838"/>
      <w:pgMar w:top="1008" w:right="1800" w:bottom="851"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719"/>
    <w:multiLevelType w:val="hybridMultilevel"/>
    <w:tmpl w:val="782CD58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303529E"/>
    <w:multiLevelType w:val="hybridMultilevel"/>
    <w:tmpl w:val="C8BC7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614C5A"/>
    <w:multiLevelType w:val="hybridMultilevel"/>
    <w:tmpl w:val="B49EA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2F61730"/>
    <w:multiLevelType w:val="hybridMultilevel"/>
    <w:tmpl w:val="8B442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989"/>
    <w:rsid w:val="00002D3B"/>
    <w:rsid w:val="00003BA2"/>
    <w:rsid w:val="00012F14"/>
    <w:rsid w:val="0001423B"/>
    <w:rsid w:val="00015F7E"/>
    <w:rsid w:val="00020D29"/>
    <w:rsid w:val="00021A2A"/>
    <w:rsid w:val="00023228"/>
    <w:rsid w:val="00024D25"/>
    <w:rsid w:val="00033BB0"/>
    <w:rsid w:val="000376C1"/>
    <w:rsid w:val="00041BF9"/>
    <w:rsid w:val="0004492E"/>
    <w:rsid w:val="0005677A"/>
    <w:rsid w:val="00061FA2"/>
    <w:rsid w:val="00066B4B"/>
    <w:rsid w:val="000810BA"/>
    <w:rsid w:val="000A0B95"/>
    <w:rsid w:val="000B7261"/>
    <w:rsid w:val="000C1690"/>
    <w:rsid w:val="000C2F81"/>
    <w:rsid w:val="000C390F"/>
    <w:rsid w:val="000C50EE"/>
    <w:rsid w:val="000D148A"/>
    <w:rsid w:val="000D3CDA"/>
    <w:rsid w:val="000D58B4"/>
    <w:rsid w:val="000D74AE"/>
    <w:rsid w:val="000E0D58"/>
    <w:rsid w:val="000E14B6"/>
    <w:rsid w:val="000F0D1E"/>
    <w:rsid w:val="000F2D11"/>
    <w:rsid w:val="000F36EA"/>
    <w:rsid w:val="000F418F"/>
    <w:rsid w:val="000F5145"/>
    <w:rsid w:val="000F7CE9"/>
    <w:rsid w:val="00104D55"/>
    <w:rsid w:val="00106B9B"/>
    <w:rsid w:val="0011472D"/>
    <w:rsid w:val="00123101"/>
    <w:rsid w:val="00127228"/>
    <w:rsid w:val="00132F0C"/>
    <w:rsid w:val="001376A0"/>
    <w:rsid w:val="00140275"/>
    <w:rsid w:val="00143DA6"/>
    <w:rsid w:val="00152D5C"/>
    <w:rsid w:val="00164AF7"/>
    <w:rsid w:val="0017087E"/>
    <w:rsid w:val="00170E1D"/>
    <w:rsid w:val="001717E6"/>
    <w:rsid w:val="00171957"/>
    <w:rsid w:val="0017469A"/>
    <w:rsid w:val="00177CEA"/>
    <w:rsid w:val="00182799"/>
    <w:rsid w:val="00183671"/>
    <w:rsid w:val="001B1286"/>
    <w:rsid w:val="001B3DA1"/>
    <w:rsid w:val="001C18DA"/>
    <w:rsid w:val="001C486A"/>
    <w:rsid w:val="001C5EBD"/>
    <w:rsid w:val="001C69FF"/>
    <w:rsid w:val="001D05A0"/>
    <w:rsid w:val="001D2D13"/>
    <w:rsid w:val="001F2BA0"/>
    <w:rsid w:val="001F60F8"/>
    <w:rsid w:val="001F73F6"/>
    <w:rsid w:val="002316D3"/>
    <w:rsid w:val="00232DDD"/>
    <w:rsid w:val="00241297"/>
    <w:rsid w:val="002440B7"/>
    <w:rsid w:val="00257D5A"/>
    <w:rsid w:val="002642B2"/>
    <w:rsid w:val="00280291"/>
    <w:rsid w:val="0028564D"/>
    <w:rsid w:val="0029590A"/>
    <w:rsid w:val="002A1482"/>
    <w:rsid w:val="002B61CC"/>
    <w:rsid w:val="002B7623"/>
    <w:rsid w:val="002E3549"/>
    <w:rsid w:val="002E4080"/>
    <w:rsid w:val="00300129"/>
    <w:rsid w:val="003057F4"/>
    <w:rsid w:val="00312C72"/>
    <w:rsid w:val="00312F29"/>
    <w:rsid w:val="00314805"/>
    <w:rsid w:val="00322DDD"/>
    <w:rsid w:val="0032504F"/>
    <w:rsid w:val="003253B3"/>
    <w:rsid w:val="003273DE"/>
    <w:rsid w:val="003336CF"/>
    <w:rsid w:val="00333A04"/>
    <w:rsid w:val="003346FB"/>
    <w:rsid w:val="003347B3"/>
    <w:rsid w:val="003400F9"/>
    <w:rsid w:val="0034075A"/>
    <w:rsid w:val="0034340B"/>
    <w:rsid w:val="00344F9E"/>
    <w:rsid w:val="00352786"/>
    <w:rsid w:val="00357D07"/>
    <w:rsid w:val="0036649C"/>
    <w:rsid w:val="00366788"/>
    <w:rsid w:val="00371AFE"/>
    <w:rsid w:val="003764D5"/>
    <w:rsid w:val="003873E3"/>
    <w:rsid w:val="00391F7A"/>
    <w:rsid w:val="003943AE"/>
    <w:rsid w:val="003967C5"/>
    <w:rsid w:val="003A712E"/>
    <w:rsid w:val="003A7AB6"/>
    <w:rsid w:val="003C12FA"/>
    <w:rsid w:val="003C1CF5"/>
    <w:rsid w:val="003C2FFF"/>
    <w:rsid w:val="003C5989"/>
    <w:rsid w:val="003C5E54"/>
    <w:rsid w:val="003E4E1E"/>
    <w:rsid w:val="003E6D73"/>
    <w:rsid w:val="003E79D9"/>
    <w:rsid w:val="003F0AFD"/>
    <w:rsid w:val="003F207D"/>
    <w:rsid w:val="003F42EE"/>
    <w:rsid w:val="003F4F19"/>
    <w:rsid w:val="00405D1F"/>
    <w:rsid w:val="00415D8E"/>
    <w:rsid w:val="0041688D"/>
    <w:rsid w:val="0042649B"/>
    <w:rsid w:val="00427FBC"/>
    <w:rsid w:val="00434320"/>
    <w:rsid w:val="00445828"/>
    <w:rsid w:val="00455576"/>
    <w:rsid w:val="004661E2"/>
    <w:rsid w:val="004747F9"/>
    <w:rsid w:val="0047623E"/>
    <w:rsid w:val="004824C8"/>
    <w:rsid w:val="00484465"/>
    <w:rsid w:val="00486642"/>
    <w:rsid w:val="004919AA"/>
    <w:rsid w:val="004929FC"/>
    <w:rsid w:val="00497594"/>
    <w:rsid w:val="004B4727"/>
    <w:rsid w:val="004B4C85"/>
    <w:rsid w:val="004B7259"/>
    <w:rsid w:val="004C4757"/>
    <w:rsid w:val="004D042A"/>
    <w:rsid w:val="004D0E3A"/>
    <w:rsid w:val="004D3FA5"/>
    <w:rsid w:val="004F7116"/>
    <w:rsid w:val="00502B1B"/>
    <w:rsid w:val="00502E29"/>
    <w:rsid w:val="005050C8"/>
    <w:rsid w:val="00512340"/>
    <w:rsid w:val="005145F3"/>
    <w:rsid w:val="00516FD5"/>
    <w:rsid w:val="005176EB"/>
    <w:rsid w:val="00525683"/>
    <w:rsid w:val="00525B5A"/>
    <w:rsid w:val="00531727"/>
    <w:rsid w:val="005322C4"/>
    <w:rsid w:val="005325B3"/>
    <w:rsid w:val="00534706"/>
    <w:rsid w:val="0053551E"/>
    <w:rsid w:val="00537652"/>
    <w:rsid w:val="00541FEB"/>
    <w:rsid w:val="00555461"/>
    <w:rsid w:val="00556200"/>
    <w:rsid w:val="00557A26"/>
    <w:rsid w:val="00560309"/>
    <w:rsid w:val="005640DC"/>
    <w:rsid w:val="00567645"/>
    <w:rsid w:val="00571B5F"/>
    <w:rsid w:val="00581C55"/>
    <w:rsid w:val="005860BB"/>
    <w:rsid w:val="0059048A"/>
    <w:rsid w:val="005942BF"/>
    <w:rsid w:val="005A1EEE"/>
    <w:rsid w:val="005C251B"/>
    <w:rsid w:val="005D2C73"/>
    <w:rsid w:val="005D5638"/>
    <w:rsid w:val="005E34CA"/>
    <w:rsid w:val="005F5B2D"/>
    <w:rsid w:val="005F7DEE"/>
    <w:rsid w:val="0060008D"/>
    <w:rsid w:val="00601859"/>
    <w:rsid w:val="006038CF"/>
    <w:rsid w:val="00611824"/>
    <w:rsid w:val="0062039C"/>
    <w:rsid w:val="00621442"/>
    <w:rsid w:val="00624234"/>
    <w:rsid w:val="006325F0"/>
    <w:rsid w:val="0063617E"/>
    <w:rsid w:val="00637373"/>
    <w:rsid w:val="0064764E"/>
    <w:rsid w:val="00650A74"/>
    <w:rsid w:val="00650C3C"/>
    <w:rsid w:val="00656A20"/>
    <w:rsid w:val="00657133"/>
    <w:rsid w:val="006632A4"/>
    <w:rsid w:val="0066651C"/>
    <w:rsid w:val="00673ED3"/>
    <w:rsid w:val="0067566A"/>
    <w:rsid w:val="00692A98"/>
    <w:rsid w:val="0069652A"/>
    <w:rsid w:val="00697F92"/>
    <w:rsid w:val="006A56C0"/>
    <w:rsid w:val="006B6740"/>
    <w:rsid w:val="006C59C1"/>
    <w:rsid w:val="006C7F5F"/>
    <w:rsid w:val="006E0D03"/>
    <w:rsid w:val="006E2553"/>
    <w:rsid w:val="006E44AC"/>
    <w:rsid w:val="006E56A3"/>
    <w:rsid w:val="006E6DD4"/>
    <w:rsid w:val="006F3961"/>
    <w:rsid w:val="006F4C0D"/>
    <w:rsid w:val="006F689D"/>
    <w:rsid w:val="006F6E87"/>
    <w:rsid w:val="006F6FF9"/>
    <w:rsid w:val="0070202E"/>
    <w:rsid w:val="0070403B"/>
    <w:rsid w:val="0070735D"/>
    <w:rsid w:val="00720460"/>
    <w:rsid w:val="00722754"/>
    <w:rsid w:val="00727AD2"/>
    <w:rsid w:val="0073014D"/>
    <w:rsid w:val="00731F0F"/>
    <w:rsid w:val="0073394B"/>
    <w:rsid w:val="00735E29"/>
    <w:rsid w:val="00737EDE"/>
    <w:rsid w:val="00742E8F"/>
    <w:rsid w:val="00746F81"/>
    <w:rsid w:val="007477FB"/>
    <w:rsid w:val="00747FA3"/>
    <w:rsid w:val="00750039"/>
    <w:rsid w:val="007534DC"/>
    <w:rsid w:val="00757D22"/>
    <w:rsid w:val="00763703"/>
    <w:rsid w:val="00765048"/>
    <w:rsid w:val="00765A02"/>
    <w:rsid w:val="00787F95"/>
    <w:rsid w:val="007901D6"/>
    <w:rsid w:val="007B6632"/>
    <w:rsid w:val="007B7682"/>
    <w:rsid w:val="007C62CD"/>
    <w:rsid w:val="007D0787"/>
    <w:rsid w:val="007D122C"/>
    <w:rsid w:val="007D4B32"/>
    <w:rsid w:val="007E1DCE"/>
    <w:rsid w:val="007E5576"/>
    <w:rsid w:val="0080134C"/>
    <w:rsid w:val="008100A6"/>
    <w:rsid w:val="008143DC"/>
    <w:rsid w:val="0082061F"/>
    <w:rsid w:val="0082062B"/>
    <w:rsid w:val="0082733D"/>
    <w:rsid w:val="0083235E"/>
    <w:rsid w:val="00834EB1"/>
    <w:rsid w:val="00835BAE"/>
    <w:rsid w:val="0083669C"/>
    <w:rsid w:val="00840A5D"/>
    <w:rsid w:val="0085442E"/>
    <w:rsid w:val="008552EC"/>
    <w:rsid w:val="00856D04"/>
    <w:rsid w:val="00865EE5"/>
    <w:rsid w:val="00867375"/>
    <w:rsid w:val="00870C45"/>
    <w:rsid w:val="008715E3"/>
    <w:rsid w:val="008756C1"/>
    <w:rsid w:val="00885A44"/>
    <w:rsid w:val="00887AB6"/>
    <w:rsid w:val="00891197"/>
    <w:rsid w:val="00893BD3"/>
    <w:rsid w:val="00894D43"/>
    <w:rsid w:val="008A2AD7"/>
    <w:rsid w:val="008A649F"/>
    <w:rsid w:val="008A7F55"/>
    <w:rsid w:val="008B2A31"/>
    <w:rsid w:val="008C19D0"/>
    <w:rsid w:val="008F2D85"/>
    <w:rsid w:val="00902507"/>
    <w:rsid w:val="00902FF2"/>
    <w:rsid w:val="009141ED"/>
    <w:rsid w:val="00932A6B"/>
    <w:rsid w:val="00932B62"/>
    <w:rsid w:val="00941E4C"/>
    <w:rsid w:val="009446FD"/>
    <w:rsid w:val="00945FD4"/>
    <w:rsid w:val="00946BDA"/>
    <w:rsid w:val="00951972"/>
    <w:rsid w:val="00956EB2"/>
    <w:rsid w:val="0096131E"/>
    <w:rsid w:val="00967CF3"/>
    <w:rsid w:val="00973254"/>
    <w:rsid w:val="0097374B"/>
    <w:rsid w:val="009846A9"/>
    <w:rsid w:val="00992F2F"/>
    <w:rsid w:val="009A41C8"/>
    <w:rsid w:val="009A4553"/>
    <w:rsid w:val="009B0B36"/>
    <w:rsid w:val="009B2435"/>
    <w:rsid w:val="009B2FB4"/>
    <w:rsid w:val="009B35DF"/>
    <w:rsid w:val="009B38A1"/>
    <w:rsid w:val="009B4F51"/>
    <w:rsid w:val="009B5EA7"/>
    <w:rsid w:val="009B7A81"/>
    <w:rsid w:val="009C0047"/>
    <w:rsid w:val="009C0EA7"/>
    <w:rsid w:val="009C196C"/>
    <w:rsid w:val="009C56C5"/>
    <w:rsid w:val="009C5A0E"/>
    <w:rsid w:val="009D32E3"/>
    <w:rsid w:val="009E1E05"/>
    <w:rsid w:val="009F5D00"/>
    <w:rsid w:val="00A000C7"/>
    <w:rsid w:val="00A0363A"/>
    <w:rsid w:val="00A04142"/>
    <w:rsid w:val="00A07ED4"/>
    <w:rsid w:val="00A10326"/>
    <w:rsid w:val="00A103B3"/>
    <w:rsid w:val="00A10D50"/>
    <w:rsid w:val="00A21487"/>
    <w:rsid w:val="00A219ED"/>
    <w:rsid w:val="00A21BA8"/>
    <w:rsid w:val="00A21C14"/>
    <w:rsid w:val="00A22979"/>
    <w:rsid w:val="00A30CDA"/>
    <w:rsid w:val="00A32844"/>
    <w:rsid w:val="00A3305A"/>
    <w:rsid w:val="00A33860"/>
    <w:rsid w:val="00A40137"/>
    <w:rsid w:val="00A522D2"/>
    <w:rsid w:val="00A57FE3"/>
    <w:rsid w:val="00A62117"/>
    <w:rsid w:val="00A71A95"/>
    <w:rsid w:val="00A73183"/>
    <w:rsid w:val="00A750F8"/>
    <w:rsid w:val="00A8125A"/>
    <w:rsid w:val="00A96628"/>
    <w:rsid w:val="00A96FF4"/>
    <w:rsid w:val="00AA7299"/>
    <w:rsid w:val="00AB3823"/>
    <w:rsid w:val="00AC1E99"/>
    <w:rsid w:val="00AD0F55"/>
    <w:rsid w:val="00AE6ACF"/>
    <w:rsid w:val="00AF6DC1"/>
    <w:rsid w:val="00AF71EC"/>
    <w:rsid w:val="00B00485"/>
    <w:rsid w:val="00B0595B"/>
    <w:rsid w:val="00B157BE"/>
    <w:rsid w:val="00B22A10"/>
    <w:rsid w:val="00B27626"/>
    <w:rsid w:val="00B43601"/>
    <w:rsid w:val="00B56302"/>
    <w:rsid w:val="00B570FC"/>
    <w:rsid w:val="00B617B0"/>
    <w:rsid w:val="00B7282E"/>
    <w:rsid w:val="00B735EC"/>
    <w:rsid w:val="00B74A6C"/>
    <w:rsid w:val="00B7766D"/>
    <w:rsid w:val="00B80F35"/>
    <w:rsid w:val="00B84909"/>
    <w:rsid w:val="00B87705"/>
    <w:rsid w:val="00B90202"/>
    <w:rsid w:val="00BA606A"/>
    <w:rsid w:val="00BA7AF4"/>
    <w:rsid w:val="00BA7EF1"/>
    <w:rsid w:val="00BA7FD4"/>
    <w:rsid w:val="00BB2E05"/>
    <w:rsid w:val="00BB31B0"/>
    <w:rsid w:val="00BB3B04"/>
    <w:rsid w:val="00BD6693"/>
    <w:rsid w:val="00BE0DEF"/>
    <w:rsid w:val="00BE45A5"/>
    <w:rsid w:val="00BE46C6"/>
    <w:rsid w:val="00BF2336"/>
    <w:rsid w:val="00BF2E2B"/>
    <w:rsid w:val="00C01C37"/>
    <w:rsid w:val="00C06E0F"/>
    <w:rsid w:val="00C1149A"/>
    <w:rsid w:val="00C15D20"/>
    <w:rsid w:val="00C20926"/>
    <w:rsid w:val="00C240F7"/>
    <w:rsid w:val="00C30A43"/>
    <w:rsid w:val="00C35347"/>
    <w:rsid w:val="00C40E06"/>
    <w:rsid w:val="00C45F09"/>
    <w:rsid w:val="00C468BB"/>
    <w:rsid w:val="00C63BB6"/>
    <w:rsid w:val="00C64360"/>
    <w:rsid w:val="00C73FA5"/>
    <w:rsid w:val="00C855C9"/>
    <w:rsid w:val="00C858E6"/>
    <w:rsid w:val="00C86517"/>
    <w:rsid w:val="00C929B8"/>
    <w:rsid w:val="00CA261A"/>
    <w:rsid w:val="00CD475A"/>
    <w:rsid w:val="00CD4F9A"/>
    <w:rsid w:val="00CD5DA0"/>
    <w:rsid w:val="00CD6BE9"/>
    <w:rsid w:val="00CE1934"/>
    <w:rsid w:val="00CE49A4"/>
    <w:rsid w:val="00CE4E03"/>
    <w:rsid w:val="00CE7A59"/>
    <w:rsid w:val="00CF1F96"/>
    <w:rsid w:val="00CF6350"/>
    <w:rsid w:val="00D01232"/>
    <w:rsid w:val="00D021F6"/>
    <w:rsid w:val="00D063FB"/>
    <w:rsid w:val="00D067EC"/>
    <w:rsid w:val="00D14E99"/>
    <w:rsid w:val="00D15A4F"/>
    <w:rsid w:val="00D17303"/>
    <w:rsid w:val="00D334FC"/>
    <w:rsid w:val="00D378B1"/>
    <w:rsid w:val="00D400F7"/>
    <w:rsid w:val="00D446C5"/>
    <w:rsid w:val="00D44D6B"/>
    <w:rsid w:val="00D51A1F"/>
    <w:rsid w:val="00D53638"/>
    <w:rsid w:val="00D54AF8"/>
    <w:rsid w:val="00D56A79"/>
    <w:rsid w:val="00D71B26"/>
    <w:rsid w:val="00D90DA1"/>
    <w:rsid w:val="00D939CE"/>
    <w:rsid w:val="00D95E17"/>
    <w:rsid w:val="00DA2870"/>
    <w:rsid w:val="00DA574F"/>
    <w:rsid w:val="00DA6E10"/>
    <w:rsid w:val="00DB12D4"/>
    <w:rsid w:val="00DB357A"/>
    <w:rsid w:val="00DC18E2"/>
    <w:rsid w:val="00DC2F4D"/>
    <w:rsid w:val="00DC5CF4"/>
    <w:rsid w:val="00DC60F2"/>
    <w:rsid w:val="00DC675F"/>
    <w:rsid w:val="00DD2CB0"/>
    <w:rsid w:val="00DE31D1"/>
    <w:rsid w:val="00DE324C"/>
    <w:rsid w:val="00DE3613"/>
    <w:rsid w:val="00DE4258"/>
    <w:rsid w:val="00DE49E8"/>
    <w:rsid w:val="00DE6A6A"/>
    <w:rsid w:val="00DF05C5"/>
    <w:rsid w:val="00DF073D"/>
    <w:rsid w:val="00DF4E8B"/>
    <w:rsid w:val="00E02EF8"/>
    <w:rsid w:val="00E03681"/>
    <w:rsid w:val="00E03CF5"/>
    <w:rsid w:val="00E13417"/>
    <w:rsid w:val="00E24AE3"/>
    <w:rsid w:val="00E37F77"/>
    <w:rsid w:val="00E459D9"/>
    <w:rsid w:val="00E55AA4"/>
    <w:rsid w:val="00E76BA1"/>
    <w:rsid w:val="00E83ECB"/>
    <w:rsid w:val="00E95A56"/>
    <w:rsid w:val="00E9736A"/>
    <w:rsid w:val="00EA0CB7"/>
    <w:rsid w:val="00EA36B0"/>
    <w:rsid w:val="00EA7875"/>
    <w:rsid w:val="00EA7FF5"/>
    <w:rsid w:val="00EB0F86"/>
    <w:rsid w:val="00EB20CA"/>
    <w:rsid w:val="00EB34B8"/>
    <w:rsid w:val="00EB5692"/>
    <w:rsid w:val="00EB7AA8"/>
    <w:rsid w:val="00EC3FB5"/>
    <w:rsid w:val="00EE06E4"/>
    <w:rsid w:val="00EE2A4C"/>
    <w:rsid w:val="00EE2C2F"/>
    <w:rsid w:val="00EE739B"/>
    <w:rsid w:val="00EF6FF2"/>
    <w:rsid w:val="00F009A7"/>
    <w:rsid w:val="00F014E7"/>
    <w:rsid w:val="00F02C9C"/>
    <w:rsid w:val="00F0788D"/>
    <w:rsid w:val="00F16851"/>
    <w:rsid w:val="00F17D03"/>
    <w:rsid w:val="00F2118A"/>
    <w:rsid w:val="00F243FD"/>
    <w:rsid w:val="00F2765F"/>
    <w:rsid w:val="00F316A8"/>
    <w:rsid w:val="00F35EEA"/>
    <w:rsid w:val="00F41378"/>
    <w:rsid w:val="00F453DE"/>
    <w:rsid w:val="00F50046"/>
    <w:rsid w:val="00F605A9"/>
    <w:rsid w:val="00F64F2F"/>
    <w:rsid w:val="00F77A72"/>
    <w:rsid w:val="00F82FC9"/>
    <w:rsid w:val="00F8582E"/>
    <w:rsid w:val="00F85F91"/>
    <w:rsid w:val="00F92533"/>
    <w:rsid w:val="00FA3335"/>
    <w:rsid w:val="00FA784B"/>
    <w:rsid w:val="00FA7BE6"/>
    <w:rsid w:val="00FB49E4"/>
    <w:rsid w:val="00FB6679"/>
    <w:rsid w:val="00FC159B"/>
    <w:rsid w:val="00FC778D"/>
    <w:rsid w:val="00FD0697"/>
    <w:rsid w:val="00FD50E5"/>
    <w:rsid w:val="00FE4DFA"/>
    <w:rsid w:val="00FE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98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0AFD"/>
    <w:rPr>
      <w:rFonts w:ascii="Tahoma" w:hAnsi="Tahoma" w:cs="Tahoma"/>
      <w:sz w:val="16"/>
      <w:szCs w:val="16"/>
    </w:rPr>
  </w:style>
  <w:style w:type="character" w:styleId="Hyperlink">
    <w:name w:val="Hyperlink"/>
    <w:rsid w:val="00B80F35"/>
    <w:rPr>
      <w:color w:val="0000FF"/>
      <w:u w:val="single"/>
    </w:rPr>
  </w:style>
  <w:style w:type="paragraph" w:styleId="NormalWeb">
    <w:name w:val="Normal (Web)"/>
    <w:basedOn w:val="Normal"/>
    <w:uiPriority w:val="99"/>
    <w:unhideWhenUsed/>
    <w:rsid w:val="006E2553"/>
    <w:pPr>
      <w:spacing w:before="100" w:beforeAutospacing="1" w:after="100" w:afterAutospacing="1"/>
    </w:pPr>
    <w:rPr>
      <w:rFonts w:ascii="Times New Roman" w:hAnsi="Times New Roman"/>
    </w:rPr>
  </w:style>
  <w:style w:type="paragraph" w:styleId="BodyText">
    <w:name w:val="Body Text"/>
    <w:basedOn w:val="Normal"/>
    <w:link w:val="BodyTextChar"/>
    <w:rsid w:val="003943AE"/>
    <w:pPr>
      <w:overflowPunct w:val="0"/>
      <w:autoSpaceDE w:val="0"/>
      <w:autoSpaceDN w:val="0"/>
      <w:adjustRightInd w:val="0"/>
      <w:textAlignment w:val="baseline"/>
    </w:pPr>
    <w:rPr>
      <w:rFonts w:ascii="Verdana" w:hAnsi="Verdana"/>
      <w:sz w:val="22"/>
      <w:szCs w:val="20"/>
      <w:lang w:val="en-US" w:eastAsia="en-US"/>
    </w:rPr>
  </w:style>
  <w:style w:type="character" w:customStyle="1" w:styleId="BodyTextChar">
    <w:name w:val="Body Text Char"/>
    <w:link w:val="BodyText"/>
    <w:rsid w:val="003943AE"/>
    <w:rPr>
      <w:rFonts w:ascii="Verdana" w:hAnsi="Verdana"/>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1 - Access to Pupils Records</vt:lpstr>
    </vt:vector>
  </TitlesOfParts>
  <Company>Kent County Council</Company>
  <LinksUpToDate>false</LinksUpToDate>
  <CharactersWithSpaces>9317</CharactersWithSpaces>
  <SharedDoc>false</SharedDoc>
  <HLinks>
    <vt:vector size="12" baseType="variant">
      <vt:variant>
        <vt:i4>2490434</vt:i4>
      </vt:variant>
      <vt:variant>
        <vt:i4>3</vt:i4>
      </vt:variant>
      <vt:variant>
        <vt:i4>0</vt:i4>
      </vt:variant>
      <vt:variant>
        <vt:i4>5</vt:i4>
      </vt:variant>
      <vt:variant>
        <vt:lpwstr>mailto:dataprotection@kent.gov.uk</vt:lpwstr>
      </vt:variant>
      <vt:variant>
        <vt:lpwstr/>
      </vt:variant>
      <vt:variant>
        <vt:i4>4915313</vt:i4>
      </vt:variant>
      <vt:variant>
        <vt:i4>0</vt:i4>
      </vt:variant>
      <vt:variant>
        <vt:i4>0</vt:i4>
      </vt:variant>
      <vt:variant>
        <vt:i4>5</vt:i4>
      </vt:variant>
      <vt:variant>
        <vt:lpwstr>mailto:michelle.hunt@kent.gov.uk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Access to Pupils Records</dc:title>
  <dc:subject/>
  <dc:creator>huntm03</dc:creator>
  <cp:keywords/>
  <cp:lastModifiedBy>Alastair</cp:lastModifiedBy>
  <cp:revision>4</cp:revision>
  <cp:lastPrinted>2018-06-01T09:44:00Z</cp:lastPrinted>
  <dcterms:created xsi:type="dcterms:W3CDTF">2019-05-03T14:23:00Z</dcterms:created>
  <dcterms:modified xsi:type="dcterms:W3CDTF">2020-01-26T21:03:00Z</dcterms:modified>
</cp:coreProperties>
</file>